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F3" w:rsidRPr="0045104C" w:rsidRDefault="00976188" w:rsidP="0045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104C">
        <w:rPr>
          <w:rFonts w:ascii="Times New Roman" w:hAnsi="Times New Roman"/>
          <w:b/>
          <w:sz w:val="24"/>
          <w:szCs w:val="24"/>
        </w:rPr>
        <w:t xml:space="preserve">© </w:t>
      </w:r>
      <w:r w:rsidR="00A13AF3" w:rsidRPr="0045104C">
        <w:rPr>
          <w:rFonts w:ascii="Times New Roman" w:hAnsi="Times New Roman"/>
          <w:b/>
          <w:sz w:val="24"/>
          <w:szCs w:val="24"/>
        </w:rPr>
        <w:t>Лукин Е.В.</w:t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692" w:rsidRPr="0045104C" w:rsidRDefault="00D63692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ФАКТОРЫ </w:t>
      </w:r>
      <w:r w:rsidR="00E809FB" w:rsidRPr="0045104C">
        <w:rPr>
          <w:rFonts w:ascii="Times New Roman" w:hAnsi="Times New Roman"/>
          <w:b/>
          <w:sz w:val="24"/>
          <w:szCs w:val="24"/>
        </w:rPr>
        <w:t>РОСТА</w:t>
      </w:r>
      <w:r w:rsidRPr="0045104C">
        <w:rPr>
          <w:rFonts w:ascii="Times New Roman" w:hAnsi="Times New Roman"/>
          <w:b/>
          <w:sz w:val="24"/>
          <w:szCs w:val="24"/>
        </w:rPr>
        <w:t xml:space="preserve"> ЭКОНОМИКИ: </w:t>
      </w:r>
      <w:r w:rsidRPr="00451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И ПЛАНИРОВАНИЕ</w:t>
      </w:r>
    </w:p>
    <w:p w:rsidR="00976188" w:rsidRPr="0045104C" w:rsidRDefault="00976188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F69EE" w:rsidRPr="0045104C" w:rsidRDefault="009F69EE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Исследование выполнено при финансовой поддержке РФФИ в рамках научного проекта № 16-06-00136 «Анализ и прогнозирование развития региональной социально-экономической системы на основе применения межотраслевых балансов».</w:t>
      </w:r>
    </w:p>
    <w:p w:rsidR="009F69EE" w:rsidRPr="0045104C" w:rsidRDefault="009F69EE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104C" w:rsidRDefault="00E809FB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sz w:val="24"/>
          <w:szCs w:val="24"/>
          <w:lang w:val="en-US" w:eastAsia="ru-RU"/>
        </w:rPr>
      </w:pPr>
      <w:r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В статье показана необходимость новой наукоемкой индустриализации экономики России и усиления интеграции добывающего и обрабатывающего секторов народного хозяйства. Выявлены ключевые управляемые факторы и параметры неоиндустриального развития экономики. </w:t>
      </w:r>
    </w:p>
    <w:p w:rsidR="009761B6" w:rsidRPr="0045104C" w:rsidRDefault="00057EB1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Экономический рост, факторы экономического роста, с</w:t>
      </w:r>
      <w:r w:rsidR="00694A3B"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истемный кризис, управляемые параметры экономического роста, </w:t>
      </w:r>
      <w:r w:rsidR="006C1AD6"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неоиндустриализация, вертикальная интеграция, межотраслевой баланс.</w:t>
      </w:r>
    </w:p>
    <w:p w:rsidR="009761B6" w:rsidRPr="0045104C" w:rsidRDefault="009761B6" w:rsidP="004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3AF3" w:rsidRPr="0045104C" w:rsidRDefault="00F42381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Снижение значений ключевых макроэкономических показателей,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ухудшение во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производственной структуры</w:t>
      </w:r>
      <w:r w:rsidRPr="0045104C">
        <w:rPr>
          <w:rStyle w:val="a6"/>
          <w:rFonts w:ascii="Times New Roman" w:hAnsi="Times New Roman"/>
          <w:color w:val="000000"/>
          <w:sz w:val="24"/>
          <w:szCs w:val="24"/>
          <w:lang w:eastAsia="ru-RU"/>
        </w:rPr>
        <w:footnoteReference w:id="1"/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экономики России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свидетельствуют о 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системном кризисе</w:t>
      </w:r>
      <w:r w:rsidR="00C906AC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(подробно это было показано нами в [</w:t>
      </w:r>
      <w:r w:rsidR="0031537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C906AC" w:rsidRPr="0045104C">
        <w:rPr>
          <w:rFonts w:ascii="Times New Roman" w:hAnsi="Times New Roman"/>
          <w:color w:val="000000"/>
          <w:sz w:val="24"/>
          <w:szCs w:val="24"/>
          <w:lang w:eastAsia="ru-RU"/>
        </w:rPr>
        <w:t>])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мнению </w:t>
      </w:r>
      <w:r w:rsidR="009F69EE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ученых-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экономистов [</w:t>
      </w:r>
      <w:r w:rsidR="0031537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3-5; 7; 11-13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], страна получит развитие и рост хозяйства только за счет осуществления новой, наукое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кой индустриализации. Ее практическое осуществление требует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всех к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мандных высот экономики в суверенной собственности, вертикально интегрированной формы организации народного хозяйства и плановых методов концентрации людских, м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териальных и финансовых ресурсов на приоритетных направлениях развития. </w:t>
      </w:r>
      <w:r w:rsidR="002E685F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Обоснова</w:t>
      </w:r>
      <w:r w:rsidR="002E685F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2E685F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 </w:t>
      </w:r>
      <w:r w:rsidR="00572D24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этого</w:t>
      </w:r>
      <w:r w:rsidR="002E685F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подтверждается следующим. Как известно, м</w:t>
      </w:r>
      <w:r w:rsidR="00A13AF3" w:rsidRPr="0045104C">
        <w:rPr>
          <w:rFonts w:ascii="Times New Roman" w:hAnsi="Times New Roman"/>
          <w:iCs/>
          <w:sz w:val="24"/>
          <w:szCs w:val="24"/>
          <w:lang w:eastAsia="ru-RU"/>
        </w:rPr>
        <w:t>ерой экономического роста сл</w:t>
      </w:r>
      <w:r w:rsidR="00A13AF3" w:rsidRPr="0045104C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A13AF3" w:rsidRPr="0045104C">
        <w:rPr>
          <w:rFonts w:ascii="Times New Roman" w:hAnsi="Times New Roman"/>
          <w:iCs/>
          <w:sz w:val="24"/>
          <w:szCs w:val="24"/>
          <w:lang w:eastAsia="ru-RU"/>
        </w:rPr>
        <w:t xml:space="preserve">жат темпы </w:t>
      </w:r>
      <w:r w:rsidR="003D18E1" w:rsidRPr="0045104C">
        <w:rPr>
          <w:rFonts w:ascii="Times New Roman" w:hAnsi="Times New Roman"/>
          <w:iCs/>
          <w:sz w:val="24"/>
          <w:szCs w:val="24"/>
          <w:lang w:eastAsia="ru-RU"/>
        </w:rPr>
        <w:t>при</w:t>
      </w:r>
      <w:r w:rsidR="00A13AF3" w:rsidRPr="0045104C">
        <w:rPr>
          <w:rFonts w:ascii="Times New Roman" w:hAnsi="Times New Roman"/>
          <w:iCs/>
          <w:sz w:val="24"/>
          <w:szCs w:val="24"/>
          <w:lang w:eastAsia="ru-RU"/>
        </w:rPr>
        <w:t>роста реального ВВП:</w:t>
      </w:r>
    </w:p>
    <w:p w:rsidR="00A13AF3" w:rsidRPr="0045104C" w:rsidRDefault="00A13AF3" w:rsidP="004510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04C">
        <w:rPr>
          <w:rFonts w:ascii="Times New Roman" w:hAnsi="Times New Roman"/>
          <w:position w:val="-34"/>
          <w:sz w:val="24"/>
          <w:szCs w:val="24"/>
          <w:lang w:eastAsia="ru-RU"/>
        </w:rPr>
        <w:object w:dxaOrig="24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57.05pt" o:ole="">
            <v:imagedata r:id="rId9" o:title=""/>
          </v:shape>
          <o:OLEObject Type="Embed" ProgID="Equation.3" ShapeID="_x0000_i1025" DrawAspect="Content" ObjectID="_1523164227" r:id="rId10"/>
        </w:object>
      </w:r>
      <w:r w:rsidRPr="0045104C">
        <w:rPr>
          <w:rFonts w:ascii="Times New Roman" w:hAnsi="Times New Roman"/>
          <w:sz w:val="24"/>
          <w:szCs w:val="24"/>
          <w:lang w:eastAsia="ru-RU"/>
        </w:rPr>
        <w:t>,</w:t>
      </w:r>
    </w:p>
    <w:p w:rsidR="00A13AF3" w:rsidRPr="0045104C" w:rsidRDefault="00A13AF3" w:rsidP="004510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5104C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45104C">
        <w:rPr>
          <w:rFonts w:ascii="Times New Roman" w:hAnsi="Times New Roman"/>
          <w:i/>
          <w:sz w:val="24"/>
          <w:szCs w:val="24"/>
          <w:lang w:val="en-US" w:eastAsia="ru-RU"/>
        </w:rPr>
        <w:t>g</w: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 – темп </w:t>
      </w:r>
      <w:r w:rsidR="003D18E1" w:rsidRPr="0045104C">
        <w:rPr>
          <w:rFonts w:ascii="Times New Roman" w:hAnsi="Times New Roman"/>
          <w:sz w:val="24"/>
          <w:szCs w:val="24"/>
          <w:lang w:eastAsia="ru-RU"/>
        </w:rPr>
        <w:t>прироста ВВП</w: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 (%); </w:t>
      </w:r>
      <w:r w:rsidRPr="0045104C">
        <w:rPr>
          <w:rFonts w:ascii="Times New Roman" w:hAnsi="Times New Roman"/>
          <w:i/>
          <w:sz w:val="24"/>
          <w:szCs w:val="24"/>
          <w:lang w:val="en-US" w:eastAsia="ru-RU"/>
        </w:rPr>
        <w:t>Y</w:t>
      </w:r>
      <w:r w:rsidRPr="0045104C">
        <w:rPr>
          <w:rFonts w:ascii="Times New Roman" w:hAnsi="Times New Roman"/>
          <w:i/>
          <w:sz w:val="24"/>
          <w:szCs w:val="24"/>
          <w:vertAlign w:val="subscript"/>
          <w:lang w:val="en-US" w:eastAsia="ru-RU"/>
        </w:rPr>
        <w:t>t</w:t>
      </w:r>
      <w:r w:rsidRPr="0045104C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+1</w: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 – ВВП (руб.); </w:t>
      </w:r>
      <w:r w:rsidRPr="0045104C">
        <w:rPr>
          <w:rFonts w:ascii="Times New Roman" w:hAnsi="Times New Roman"/>
          <w:i/>
          <w:sz w:val="24"/>
          <w:szCs w:val="24"/>
          <w:lang w:val="en-US" w:eastAsia="ru-RU"/>
        </w:rPr>
        <w:t>Y</w:t>
      </w:r>
      <w:r w:rsidRPr="0045104C">
        <w:rPr>
          <w:rFonts w:ascii="Times New Roman" w:hAnsi="Times New Roman"/>
          <w:i/>
          <w:sz w:val="24"/>
          <w:szCs w:val="24"/>
          <w:vertAlign w:val="subscript"/>
          <w:lang w:val="en-US" w:eastAsia="ru-RU"/>
        </w:rPr>
        <w:t>t</w: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 – ВВП предыдущего года (руб.); </w:t>
      </w:r>
      <w:r w:rsidRPr="0045104C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 – уровень инфляции (%).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  <w:r w:rsidRPr="0045104C">
        <w:rPr>
          <w:rFonts w:ascii="Times New Roman" w:hAnsi="Times New Roman"/>
          <w:iCs/>
          <w:sz w:val="24"/>
          <w:szCs w:val="24"/>
          <w:lang w:eastAsia="ru-RU"/>
        </w:rPr>
        <w:t xml:space="preserve">Умножая числитель и знаменатель дроби на фонд накопления </w:t>
      </w:r>
      <w:r w:rsidRPr="0045104C">
        <w:rPr>
          <w:rFonts w:ascii="Times New Roman" w:hAnsi="Times New Roman"/>
          <w:i/>
          <w:iCs/>
          <w:sz w:val="24"/>
          <w:szCs w:val="24"/>
          <w:lang w:val="en-US" w:eastAsia="ru-RU"/>
        </w:rPr>
        <w:t>K</w:t>
      </w:r>
      <w:r w:rsidRPr="0045104C">
        <w:rPr>
          <w:rFonts w:ascii="Times New Roman" w:hAnsi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45104C">
        <w:rPr>
          <w:rFonts w:ascii="Times New Roman" w:hAnsi="Times New Roman"/>
          <w:iCs/>
          <w:sz w:val="24"/>
          <w:szCs w:val="24"/>
          <w:lang w:eastAsia="ru-RU"/>
        </w:rPr>
        <w:t xml:space="preserve"> (руб.), получим следующее выражение:</w:t>
      </w:r>
    </w:p>
    <w:p w:rsidR="00A13AF3" w:rsidRPr="0045104C" w:rsidRDefault="00A13AF3" w:rsidP="0045104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04C">
        <w:rPr>
          <w:rFonts w:ascii="Times New Roman" w:hAnsi="Times New Roman"/>
          <w:position w:val="-34"/>
          <w:sz w:val="24"/>
          <w:szCs w:val="24"/>
          <w:lang w:eastAsia="ru-RU"/>
        </w:rPr>
        <w:object w:dxaOrig="5679" w:dyaOrig="1140">
          <v:shape id="_x0000_i1026" type="#_x0000_t75" style="width:284.25pt;height:57.05pt" o:ole="">
            <v:imagedata r:id="rId11" o:title=""/>
          </v:shape>
          <o:OLEObject Type="Embed" ProgID="Equation.3" ShapeID="_x0000_i1026" DrawAspect="Content" ObjectID="_1523164228" r:id="rId12"/>
        </w:object>
      </w:r>
      <w:r w:rsidRPr="0045104C">
        <w:rPr>
          <w:rFonts w:ascii="Times New Roman" w:hAnsi="Times New Roman"/>
          <w:sz w:val="24"/>
          <w:szCs w:val="24"/>
          <w:lang w:eastAsia="ru-RU"/>
        </w:rPr>
        <w:t>.</w:t>
      </w:r>
    </w:p>
    <w:p w:rsidR="003D18E1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iCs/>
          <w:sz w:val="24"/>
          <w:szCs w:val="24"/>
          <w:lang w:eastAsia="ru-RU"/>
        </w:rPr>
        <w:t xml:space="preserve">Полученные множители есть ничто иное, как 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эффективность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капиталовложений</w:t>
      </w:r>
      <w:r w:rsidR="003D18E1" w:rsidRPr="0045104C">
        <w:rPr>
          <w:rStyle w:val="a6"/>
          <w:rFonts w:ascii="Times New Roman" w:hAnsi="Times New Roman"/>
          <w:color w:val="000000"/>
          <w:spacing w:val="-2"/>
          <w:sz w:val="24"/>
          <w:szCs w:val="24"/>
          <w:lang w:eastAsia="ru-RU"/>
        </w:rPr>
        <w:footnoteReference w:id="2"/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(%) и 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доля накопления</w:t>
      </w:r>
      <w:r w:rsidR="003D18E1" w:rsidRPr="0045104C">
        <w:rPr>
          <w:rStyle w:val="a6"/>
          <w:rFonts w:ascii="Times New Roman" w:hAnsi="Times New Roman"/>
          <w:spacing w:val="-2"/>
          <w:sz w:val="24"/>
          <w:szCs w:val="24"/>
          <w:lang w:eastAsia="ru-RU"/>
        </w:rPr>
        <w:footnoteReference w:id="3"/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i/>
          <w:spacing w:val="-2"/>
          <w:sz w:val="24"/>
          <w:szCs w:val="24"/>
          <w:lang w:eastAsia="ru-RU"/>
        </w:rPr>
        <w:t>А</w:t>
      </w:r>
      <w:r w:rsidR="003D18E1"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 (%):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04C">
        <w:rPr>
          <w:rFonts w:ascii="Times New Roman" w:hAnsi="Times New Roman"/>
          <w:position w:val="-34"/>
          <w:sz w:val="24"/>
          <w:szCs w:val="24"/>
          <w:lang w:eastAsia="ru-RU"/>
        </w:rPr>
        <w:object w:dxaOrig="1620" w:dyaOrig="1140">
          <v:shape id="_x0000_i1027" type="#_x0000_t75" style="width:81.35pt;height:57.05pt" o:ole="">
            <v:imagedata r:id="rId13" o:title=""/>
          </v:shape>
          <o:OLEObject Type="Embed" ProgID="Equation.3" ShapeID="_x0000_i1027" DrawAspect="Content" ObjectID="_1523164229" r:id="rId14"/>
        </w:object>
      </w:r>
      <w:r w:rsidRPr="0045104C">
        <w:rPr>
          <w:rFonts w:ascii="Times New Roman" w:hAnsi="Times New Roman"/>
          <w:sz w:val="24"/>
          <w:szCs w:val="24"/>
          <w:lang w:eastAsia="ru-RU"/>
        </w:rPr>
        <w:t xml:space="preserve">;          </w:t>
      </w:r>
      <w:r w:rsidRPr="0045104C">
        <w:rPr>
          <w:rFonts w:ascii="Times New Roman" w:hAnsi="Times New Roman"/>
          <w:position w:val="-34"/>
          <w:sz w:val="24"/>
          <w:szCs w:val="24"/>
          <w:lang w:eastAsia="ru-RU"/>
        </w:rPr>
        <w:object w:dxaOrig="920" w:dyaOrig="800">
          <v:shape id="_x0000_i1028" type="#_x0000_t75" style="width:45.8pt;height:40.2pt" o:ole="">
            <v:imagedata r:id="rId15" o:title=""/>
          </v:shape>
          <o:OLEObject Type="Embed" ProgID="Equation.3" ShapeID="_x0000_i1028" DrawAspect="Content" ObjectID="_1523164230" r:id="rId16"/>
        </w:object>
      </w:r>
      <w:r w:rsidRPr="0045104C">
        <w:rPr>
          <w:rFonts w:ascii="Times New Roman" w:hAnsi="Times New Roman"/>
          <w:sz w:val="24"/>
          <w:szCs w:val="24"/>
          <w:lang w:eastAsia="ru-RU"/>
        </w:rPr>
        <w:t>.</w:t>
      </w:r>
    </w:p>
    <w:p w:rsidR="003D18E1" w:rsidRPr="0045104C" w:rsidRDefault="003D18E1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Таким образом,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согласно приведенным соотношениям, темпы прироста ВВП (</w:t>
      </w:r>
      <w:r w:rsidRPr="0045104C">
        <w:rPr>
          <w:rFonts w:ascii="Times New Roman" w:hAnsi="Times New Roman"/>
          <w:i/>
          <w:spacing w:val="-2"/>
          <w:sz w:val="24"/>
          <w:szCs w:val="24"/>
          <w:lang w:val="en-US" w:eastAsia="ru-RU"/>
        </w:rPr>
        <w:t>g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) пр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я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мо пропорциональны эффективности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капиталовложений (</w:t>
      </w:r>
      <w:r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>E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), 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доле накопления (</w:t>
      </w:r>
      <w:r w:rsidRPr="0045104C">
        <w:rPr>
          <w:rFonts w:ascii="Times New Roman" w:hAnsi="Times New Roman"/>
          <w:i/>
          <w:spacing w:val="-2"/>
          <w:sz w:val="24"/>
          <w:szCs w:val="24"/>
          <w:lang w:eastAsia="ru-RU"/>
        </w:rPr>
        <w:t>A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) и обратно пропорциональны индексу-дефлятору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(</w:t>
      </w:r>
      <w:r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>i</w:t>
      </w:r>
      <w:r w:rsidR="009C375F"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>,</w:t>
      </w:r>
      <w:r w:rsidR="009C375F"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инфляция учитывается при расчете эффективности капитальных вложений</w:t>
      </w:r>
      <w:r w:rsidR="009C375F"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):</w:t>
      </w:r>
    </w:p>
    <w:p w:rsidR="003D18E1" w:rsidRPr="0045104C" w:rsidRDefault="003D18E1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1880" w:dyaOrig="360">
          <v:shape id="_x0000_i1029" type="#_x0000_t75" style="width:94.45pt;height:17.75pt" o:ole="">
            <v:imagedata r:id="rId17" o:title=""/>
          </v:shape>
          <o:OLEObject Type="Embed" ProgID="Equation.3" ShapeID="_x0000_i1029" DrawAspect="Content" ObjectID="_1523164231" r:id="rId18"/>
        </w:objec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сопоставимых ценах).</w:t>
      </w:r>
    </w:p>
    <w:p w:rsidR="00A13AF3" w:rsidRPr="0045104C" w:rsidRDefault="003D18E1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Это те самые внутренние и фундаментальные параметры, которые должны быть об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ъ</w:t>
      </w:r>
      <w:r w:rsidRPr="0045104C">
        <w:rPr>
          <w:rFonts w:ascii="Times New Roman" w:hAnsi="Times New Roman"/>
          <w:spacing w:val="-2"/>
          <w:sz w:val="24"/>
          <w:szCs w:val="24"/>
          <w:lang w:eastAsia="ru-RU"/>
        </w:rPr>
        <w:t>ектом планового регулирования и управления.</w:t>
      </w:r>
      <w:r w:rsidR="00731B81" w:rsidRPr="0045104C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Согласно ф</w:t>
      </w:r>
      <w:r w:rsidR="00A13AF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ормул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="00A13AF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экономического роста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для максимизации темпов прироста экономики (ВВП) необходимо</w:t>
      </w:r>
      <w:r w:rsidR="00731B81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обеспечение</w:t>
      </w:r>
      <w:r w:rsidR="00A13AF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="00057EB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стабильности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рубля на протяжение долгосрочного периода (всего периода инд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стриализации);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 высокой эффективности капиталовложений;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 планово-регулируемой доли накопления.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Реальные значения данных параметров для экономики России за период с 1996 по 2014 г. представлены на рисунках 1-4.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F6B60F" wp14:editId="2AB31D24">
            <wp:extent cx="5937662" cy="244631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1. </w:t>
      </w:r>
      <w:r w:rsidRPr="0045104C">
        <w:rPr>
          <w:rFonts w:ascii="Times New Roman" w:hAnsi="Times New Roman"/>
          <w:b/>
          <w:sz w:val="24"/>
          <w:szCs w:val="24"/>
        </w:rPr>
        <w:t>Динамика эффективности капиталовложений (Е)</w:t>
      </w:r>
      <w:r w:rsidRPr="0045104C">
        <w:rPr>
          <w:rFonts w:ascii="Times New Roman" w:hAnsi="Times New Roman"/>
          <w:b/>
          <w:sz w:val="24"/>
          <w:szCs w:val="24"/>
        </w:rPr>
        <w:br/>
        <w:t xml:space="preserve">в России в 1996-2014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315371" w:rsidRPr="0045104C">
        <w:rPr>
          <w:rFonts w:ascii="Times New Roman" w:hAnsi="Times New Roman"/>
          <w:sz w:val="24"/>
          <w:szCs w:val="24"/>
        </w:rPr>
        <w:t>10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057EB1" w:rsidRPr="0045104C" w:rsidRDefault="00057EB1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71B0B1" wp14:editId="08943C23">
            <wp:extent cx="5939790" cy="2672906"/>
            <wp:effectExtent l="0" t="0" r="381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2. </w:t>
      </w:r>
      <w:r w:rsidRPr="0045104C">
        <w:rPr>
          <w:rFonts w:ascii="Times New Roman" w:hAnsi="Times New Roman"/>
          <w:b/>
          <w:sz w:val="24"/>
          <w:szCs w:val="24"/>
        </w:rPr>
        <w:t>Динамика индекса-дефлятора ВВП (</w:t>
      </w:r>
      <w:r w:rsidRPr="004510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104C">
        <w:rPr>
          <w:rFonts w:ascii="Times New Roman" w:hAnsi="Times New Roman"/>
          <w:b/>
          <w:sz w:val="24"/>
          <w:szCs w:val="24"/>
        </w:rPr>
        <w:t xml:space="preserve">) в России в 1996-2014 гг., </w:t>
      </w:r>
      <w:r w:rsidRPr="0045104C">
        <w:rPr>
          <w:rFonts w:ascii="Times New Roman" w:hAnsi="Times New Roman"/>
          <w:sz w:val="24"/>
          <w:szCs w:val="24"/>
        </w:rPr>
        <w:t>% [</w:t>
      </w:r>
      <w:r w:rsidR="00315371" w:rsidRPr="0045104C">
        <w:rPr>
          <w:rFonts w:ascii="Times New Roman" w:hAnsi="Times New Roman"/>
          <w:sz w:val="24"/>
          <w:szCs w:val="24"/>
        </w:rPr>
        <w:t>10</w:t>
      </w:r>
      <w:r w:rsidRPr="0045104C">
        <w:rPr>
          <w:rFonts w:ascii="Times New Roman" w:hAnsi="Times New Roman"/>
          <w:sz w:val="24"/>
          <w:szCs w:val="24"/>
        </w:rPr>
        <w:t>]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3C948" wp14:editId="0CDD9C56">
            <wp:extent cx="5937662" cy="229193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3. </w:t>
      </w:r>
      <w:r w:rsidRPr="0045104C">
        <w:rPr>
          <w:rFonts w:ascii="Times New Roman" w:hAnsi="Times New Roman"/>
          <w:b/>
          <w:sz w:val="24"/>
          <w:szCs w:val="24"/>
        </w:rPr>
        <w:t xml:space="preserve">Динамика доли накопления (А) в России в 1996-2014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315371" w:rsidRPr="0045104C">
        <w:rPr>
          <w:rFonts w:ascii="Times New Roman" w:hAnsi="Times New Roman"/>
          <w:sz w:val="24"/>
          <w:szCs w:val="24"/>
        </w:rPr>
        <w:t>10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C3462B" wp14:editId="5A679891">
            <wp:extent cx="5949537" cy="238694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4. </w:t>
      </w:r>
      <w:r w:rsidRPr="0045104C">
        <w:rPr>
          <w:rFonts w:ascii="Times New Roman" w:hAnsi="Times New Roman"/>
          <w:b/>
          <w:sz w:val="24"/>
          <w:szCs w:val="24"/>
        </w:rPr>
        <w:t xml:space="preserve">Темп </w:t>
      </w:r>
      <w:r w:rsidR="00731B81" w:rsidRPr="0045104C">
        <w:rPr>
          <w:rFonts w:ascii="Times New Roman" w:hAnsi="Times New Roman"/>
          <w:b/>
          <w:sz w:val="24"/>
          <w:szCs w:val="24"/>
        </w:rPr>
        <w:t>при</w:t>
      </w:r>
      <w:r w:rsidRPr="0045104C">
        <w:rPr>
          <w:rFonts w:ascii="Times New Roman" w:hAnsi="Times New Roman"/>
          <w:b/>
          <w:sz w:val="24"/>
          <w:szCs w:val="24"/>
        </w:rPr>
        <w:t>роста</w:t>
      </w:r>
      <w:r w:rsidR="00731B81" w:rsidRPr="0045104C">
        <w:rPr>
          <w:rFonts w:ascii="Times New Roman" w:hAnsi="Times New Roman"/>
          <w:b/>
          <w:sz w:val="24"/>
          <w:szCs w:val="24"/>
        </w:rPr>
        <w:t xml:space="preserve"> ВВП</w:t>
      </w:r>
      <w:r w:rsidRPr="0045104C">
        <w:rPr>
          <w:rFonts w:ascii="Times New Roman" w:hAnsi="Times New Roman"/>
          <w:b/>
          <w:sz w:val="24"/>
          <w:szCs w:val="24"/>
        </w:rPr>
        <w:t xml:space="preserve"> (</w:t>
      </w:r>
      <w:r w:rsidRPr="0045104C">
        <w:rPr>
          <w:rFonts w:ascii="Times New Roman" w:hAnsi="Times New Roman"/>
          <w:b/>
          <w:sz w:val="24"/>
          <w:szCs w:val="24"/>
          <w:lang w:val="en-US"/>
        </w:rPr>
        <w:t>g</w:t>
      </w:r>
      <w:r w:rsidRPr="0045104C">
        <w:rPr>
          <w:rFonts w:ascii="Times New Roman" w:hAnsi="Times New Roman"/>
          <w:b/>
          <w:sz w:val="24"/>
          <w:szCs w:val="24"/>
        </w:rPr>
        <w:t xml:space="preserve">) </w:t>
      </w:r>
      <w:r w:rsidR="00731B81" w:rsidRPr="0045104C">
        <w:rPr>
          <w:rFonts w:ascii="Times New Roman" w:hAnsi="Times New Roman"/>
          <w:b/>
          <w:sz w:val="24"/>
          <w:szCs w:val="24"/>
        </w:rPr>
        <w:t>Р</w:t>
      </w:r>
      <w:r w:rsidRPr="0045104C">
        <w:rPr>
          <w:rFonts w:ascii="Times New Roman" w:hAnsi="Times New Roman"/>
          <w:b/>
          <w:sz w:val="24"/>
          <w:szCs w:val="24"/>
        </w:rPr>
        <w:t xml:space="preserve">оссии в 1996-2014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315371" w:rsidRPr="0045104C">
        <w:rPr>
          <w:rFonts w:ascii="Times New Roman" w:hAnsi="Times New Roman"/>
          <w:sz w:val="24"/>
          <w:szCs w:val="24"/>
        </w:rPr>
        <w:t>10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spacing w:val="-4"/>
          <w:sz w:val="24"/>
          <w:szCs w:val="24"/>
          <w:lang w:eastAsia="ru-RU"/>
        </w:rPr>
        <w:t>Как видно из приведенных данных, эффективность капитальных вложений в России с каждым годом снижается. В 2014 г. она опустилась до 3,1%, что ниже уровня инфляции. Доля накопления при этом колеблется на уровне 21-22%, т.е. почти в полтора раза ниже, чем нео</w:t>
      </w:r>
      <w:r w:rsidRPr="0045104C">
        <w:rPr>
          <w:rFonts w:ascii="Times New Roman" w:hAnsi="Times New Roman"/>
          <w:spacing w:val="-4"/>
          <w:sz w:val="24"/>
          <w:szCs w:val="24"/>
          <w:lang w:eastAsia="ru-RU"/>
        </w:rPr>
        <w:t>б</w:t>
      </w:r>
      <w:r w:rsidRPr="0045104C">
        <w:rPr>
          <w:rFonts w:ascii="Times New Roman" w:hAnsi="Times New Roman"/>
          <w:spacing w:val="-4"/>
          <w:sz w:val="24"/>
          <w:szCs w:val="24"/>
          <w:lang w:eastAsia="ru-RU"/>
        </w:rPr>
        <w:t>ходимо</w:t>
      </w:r>
      <w:r w:rsidR="00731B81" w:rsidRPr="0045104C">
        <w:rPr>
          <w:rStyle w:val="a6"/>
          <w:rFonts w:ascii="Times New Roman" w:hAnsi="Times New Roman"/>
          <w:spacing w:val="-4"/>
          <w:sz w:val="24"/>
          <w:szCs w:val="24"/>
          <w:lang w:eastAsia="ru-RU"/>
        </w:rPr>
        <w:footnoteReference w:id="4"/>
      </w:r>
      <w:r w:rsidRPr="0045104C">
        <w:rPr>
          <w:rFonts w:ascii="Times New Roman" w:hAnsi="Times New Roman"/>
          <w:spacing w:val="-4"/>
          <w:sz w:val="24"/>
          <w:szCs w:val="24"/>
          <w:lang w:eastAsia="ru-RU"/>
        </w:rPr>
        <w:t xml:space="preserve">. Такая ситуация приводит к замедлению темпа экономического роста. По итогам 2014 года он сократился до 100,6%. </w:t>
      </w:r>
      <w:r w:rsidR="00731B81" w:rsidRPr="0045104C">
        <w:rPr>
          <w:rFonts w:ascii="Times New Roman" w:hAnsi="Times New Roman"/>
          <w:spacing w:val="-4"/>
          <w:sz w:val="24"/>
          <w:szCs w:val="24"/>
          <w:lang w:eastAsia="ru-RU"/>
        </w:rPr>
        <w:t>Согласно нашим расчетам, с</w:t>
      </w:r>
      <w:r w:rsidRPr="0045104C">
        <w:rPr>
          <w:rFonts w:ascii="Times New Roman" w:hAnsi="Times New Roman"/>
          <w:spacing w:val="-4"/>
          <w:sz w:val="24"/>
          <w:szCs w:val="24"/>
          <w:lang w:eastAsia="ru-RU"/>
        </w:rPr>
        <w:t>охранение существующей ситуации приведет к падению ВВП на 5-6% уже по итогам 2015 г.</w:t>
      </w:r>
    </w:p>
    <w:p w:rsidR="00A13AF3" w:rsidRPr="0045104C" w:rsidRDefault="00057EB1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Для сравнения, з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начения аналогичных показателей по экономике США за 1997</w:t>
      </w:r>
      <w:r w:rsidR="00731B81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-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2014 гг. представлены на рисунках 5-8. Высокая доля накопления и низкий уровень инфляции позвол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я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ют США даже при относительно невысокой </w:t>
      </w:r>
      <w:r w:rsidR="00731B81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(но при этом, что важно, стабильной) 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эффективн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сти капиталовложений поддерживать рост экономики на уровне 2-3% в год.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54CE50" wp14:editId="777BB285">
            <wp:extent cx="5949537" cy="219693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5. </w:t>
      </w:r>
      <w:r w:rsidRPr="0045104C">
        <w:rPr>
          <w:rFonts w:ascii="Times New Roman" w:hAnsi="Times New Roman"/>
          <w:b/>
          <w:sz w:val="24"/>
          <w:szCs w:val="24"/>
        </w:rPr>
        <w:t>Динамика эффективности капиталовложений (Е)</w:t>
      </w:r>
      <w:r w:rsidRPr="0045104C">
        <w:rPr>
          <w:rFonts w:ascii="Times New Roman" w:hAnsi="Times New Roman"/>
          <w:b/>
          <w:sz w:val="24"/>
          <w:szCs w:val="24"/>
        </w:rPr>
        <w:br/>
        <w:t xml:space="preserve">в США в 1997-2014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502523" w:rsidRPr="0045104C">
        <w:rPr>
          <w:rFonts w:ascii="Times New Roman" w:hAnsi="Times New Roman"/>
          <w:sz w:val="24"/>
          <w:szCs w:val="24"/>
        </w:rPr>
        <w:t>1</w:t>
      </w:r>
      <w:r w:rsidR="00315371" w:rsidRPr="0045104C">
        <w:rPr>
          <w:rFonts w:ascii="Times New Roman" w:hAnsi="Times New Roman"/>
          <w:sz w:val="24"/>
          <w:szCs w:val="24"/>
        </w:rPr>
        <w:t>4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7C81E4" wp14:editId="468FDF1F">
            <wp:extent cx="5949537" cy="2268187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6. </w:t>
      </w:r>
      <w:r w:rsidRPr="0045104C">
        <w:rPr>
          <w:rFonts w:ascii="Times New Roman" w:hAnsi="Times New Roman"/>
          <w:b/>
          <w:sz w:val="24"/>
          <w:szCs w:val="24"/>
        </w:rPr>
        <w:t>Динамика индекса-дефлятора ВВП (</w:t>
      </w:r>
      <w:r w:rsidRPr="004510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104C">
        <w:rPr>
          <w:rFonts w:ascii="Times New Roman" w:hAnsi="Times New Roman"/>
          <w:b/>
          <w:sz w:val="24"/>
          <w:szCs w:val="24"/>
        </w:rPr>
        <w:t xml:space="preserve">) в США в 1997-2014 гг., </w:t>
      </w:r>
      <w:r w:rsidRPr="0045104C">
        <w:rPr>
          <w:rFonts w:ascii="Times New Roman" w:hAnsi="Times New Roman"/>
          <w:sz w:val="24"/>
          <w:szCs w:val="24"/>
        </w:rPr>
        <w:t>% [</w:t>
      </w:r>
      <w:r w:rsidR="00502523" w:rsidRPr="0045104C">
        <w:rPr>
          <w:rFonts w:ascii="Times New Roman" w:hAnsi="Times New Roman"/>
          <w:sz w:val="24"/>
          <w:szCs w:val="24"/>
        </w:rPr>
        <w:t>1</w:t>
      </w:r>
      <w:r w:rsidR="00315371" w:rsidRPr="0045104C">
        <w:rPr>
          <w:rFonts w:ascii="Times New Roman" w:hAnsi="Times New Roman"/>
          <w:sz w:val="24"/>
          <w:szCs w:val="24"/>
        </w:rPr>
        <w:t>4</w:t>
      </w:r>
      <w:r w:rsidRPr="0045104C">
        <w:rPr>
          <w:rFonts w:ascii="Times New Roman" w:hAnsi="Times New Roman"/>
          <w:sz w:val="24"/>
          <w:szCs w:val="24"/>
        </w:rPr>
        <w:t>]</w:t>
      </w:r>
    </w:p>
    <w:p w:rsidR="00057EB1" w:rsidRPr="0045104C" w:rsidRDefault="00057EB1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6F7331" wp14:editId="06A2EADB">
            <wp:extent cx="5949537" cy="2113808"/>
            <wp:effectExtent l="0" t="0" r="0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7. </w:t>
      </w:r>
      <w:r w:rsidRPr="0045104C">
        <w:rPr>
          <w:rFonts w:ascii="Times New Roman" w:hAnsi="Times New Roman"/>
          <w:b/>
          <w:sz w:val="24"/>
          <w:szCs w:val="24"/>
        </w:rPr>
        <w:t xml:space="preserve">Динамика доли накопления (А) в США в 1997-2014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502523" w:rsidRPr="0045104C">
        <w:rPr>
          <w:rFonts w:ascii="Times New Roman" w:hAnsi="Times New Roman"/>
          <w:sz w:val="24"/>
          <w:szCs w:val="24"/>
        </w:rPr>
        <w:t>1</w:t>
      </w:r>
      <w:r w:rsidR="00315371" w:rsidRPr="0045104C">
        <w:rPr>
          <w:rFonts w:ascii="Times New Roman" w:hAnsi="Times New Roman"/>
          <w:sz w:val="24"/>
          <w:szCs w:val="24"/>
        </w:rPr>
        <w:t>4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18950C" wp14:editId="511ABDC2">
            <wp:extent cx="5949537" cy="225631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8. </w:t>
      </w:r>
      <w:r w:rsidRPr="0045104C">
        <w:rPr>
          <w:rFonts w:ascii="Times New Roman" w:hAnsi="Times New Roman"/>
          <w:b/>
          <w:sz w:val="24"/>
          <w:szCs w:val="24"/>
        </w:rPr>
        <w:t xml:space="preserve">Темп </w:t>
      </w:r>
      <w:r w:rsidR="00731B81" w:rsidRPr="0045104C">
        <w:rPr>
          <w:rFonts w:ascii="Times New Roman" w:hAnsi="Times New Roman"/>
          <w:b/>
          <w:sz w:val="24"/>
          <w:szCs w:val="24"/>
        </w:rPr>
        <w:t>при</w:t>
      </w:r>
      <w:r w:rsidRPr="0045104C">
        <w:rPr>
          <w:rFonts w:ascii="Times New Roman" w:hAnsi="Times New Roman"/>
          <w:b/>
          <w:sz w:val="24"/>
          <w:szCs w:val="24"/>
        </w:rPr>
        <w:t>роста</w:t>
      </w:r>
      <w:r w:rsidR="00731B81" w:rsidRPr="0045104C">
        <w:rPr>
          <w:rFonts w:ascii="Times New Roman" w:hAnsi="Times New Roman"/>
          <w:b/>
          <w:sz w:val="24"/>
          <w:szCs w:val="24"/>
        </w:rPr>
        <w:t xml:space="preserve"> ВВП</w:t>
      </w:r>
      <w:r w:rsidRPr="0045104C">
        <w:rPr>
          <w:rFonts w:ascii="Times New Roman" w:hAnsi="Times New Roman"/>
          <w:b/>
          <w:sz w:val="24"/>
          <w:szCs w:val="24"/>
        </w:rPr>
        <w:t xml:space="preserve"> (</w:t>
      </w:r>
      <w:r w:rsidRPr="0045104C">
        <w:rPr>
          <w:rFonts w:ascii="Times New Roman" w:hAnsi="Times New Roman"/>
          <w:b/>
          <w:sz w:val="24"/>
          <w:szCs w:val="24"/>
          <w:lang w:val="en-US"/>
        </w:rPr>
        <w:t>g</w:t>
      </w:r>
      <w:r w:rsidRPr="0045104C">
        <w:rPr>
          <w:rFonts w:ascii="Times New Roman" w:hAnsi="Times New Roman"/>
          <w:b/>
          <w:sz w:val="24"/>
          <w:szCs w:val="24"/>
        </w:rPr>
        <w:t xml:space="preserve">) США в 1997-2014 гг., </w:t>
      </w:r>
      <w:r w:rsidRPr="0045104C">
        <w:rPr>
          <w:rFonts w:ascii="Times New Roman" w:hAnsi="Times New Roman"/>
          <w:sz w:val="24"/>
          <w:szCs w:val="24"/>
        </w:rPr>
        <w:t>% (рассчитано по [</w:t>
      </w:r>
      <w:r w:rsidR="00502523" w:rsidRPr="0045104C">
        <w:rPr>
          <w:rFonts w:ascii="Times New Roman" w:hAnsi="Times New Roman"/>
          <w:sz w:val="24"/>
          <w:szCs w:val="24"/>
        </w:rPr>
        <w:t>1</w:t>
      </w:r>
      <w:r w:rsidR="00315371" w:rsidRPr="0045104C">
        <w:rPr>
          <w:rFonts w:ascii="Times New Roman" w:hAnsi="Times New Roman"/>
          <w:sz w:val="24"/>
          <w:szCs w:val="24"/>
        </w:rPr>
        <w:t>4</w:t>
      </w:r>
      <w:r w:rsidRPr="0045104C">
        <w:rPr>
          <w:rFonts w:ascii="Times New Roman" w:hAnsi="Times New Roman"/>
          <w:sz w:val="24"/>
          <w:szCs w:val="24"/>
        </w:rPr>
        <w:t>])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расчетам, для решения задачи удвоения ВВП </w:t>
      </w:r>
      <w:r w:rsidR="00057EB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России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2025 г. (т.е. за 10 лет со среднегодовым темпом </w:t>
      </w:r>
      <w:r w:rsidR="00731B8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роста экономики в 7,5%) необходимо обеспечить: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– </w:t>
      </w:r>
      <w:r w:rsidR="00057EB1" w:rsidRPr="0045104C"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  <w:t>сохранение</w:t>
      </w:r>
      <w:r w:rsidRPr="0045104C"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  <w:t>, или прирост покупательной силы рубля;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Pr="0045104C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эффективность капиталовложений на уровне не менее 25%;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 </w:t>
      </w:r>
      <w:r w:rsidRPr="0045104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долю накопления </w:t>
      </w:r>
      <w:r w:rsidR="00057EB1" w:rsidRPr="0045104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45104C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 ниже 30% ВВП.</w:t>
      </w:r>
    </w:p>
    <w:p w:rsidR="00A13AF3" w:rsidRPr="0045104C" w:rsidRDefault="00057EB1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потеря покупательной силы рубля 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составляет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7%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эффективность капиталовложений – 3,1% (в 8 раз ниже пороговой величины)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доля накопления – 20,6% ВВП (в 1,5 раза ниже требуемой).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3AF3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Если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учесть</w:t>
      </w:r>
      <w:r w:rsidR="00A13AF3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низкий уровень рентабельности реального сектора экономики и высокое значение ключевой ставки ЦБ РФ (рис. 9), то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имеем ситуацию, при которой</w:t>
      </w:r>
      <w:r w:rsidR="00185EE3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[1]</w:t>
      </w:r>
      <w:r w:rsidR="00A13AF3" w:rsidRPr="0045104C">
        <w:rPr>
          <w:rFonts w:ascii="Times New Roman" w:hAnsi="Times New Roman"/>
          <w:bCs/>
          <w:color w:val="000000"/>
          <w:spacing w:val="-4"/>
          <w:sz w:val="24"/>
          <w:szCs w:val="24"/>
          <w:lang w:eastAsia="ru-RU"/>
        </w:rPr>
        <w:t>:</w:t>
      </w:r>
      <w:r w:rsidR="00A13AF3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A13AF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апиталовложения </w:t>
      </w:r>
      <w:r w:rsidR="00731B8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являются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окупаемыми;</w:t>
      </w:r>
    </w:p>
    <w:p w:rsidR="00A13AF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–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 </w:t>
      </w: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ыгоден отток капитала за рубеж даже при депозитных ставках там 1</w:t>
      </w:r>
      <w:r w:rsidR="00A13AF3" w:rsidRPr="0045104C">
        <w:rPr>
          <w:rFonts w:ascii="Cambria Math" w:hAnsi="Cambria Math" w:cs="Cambria Math"/>
          <w:color w:val="000000"/>
          <w:spacing w:val="-6"/>
          <w:sz w:val="24"/>
          <w:szCs w:val="24"/>
          <w:lang w:eastAsia="ru-RU"/>
        </w:rPr>
        <w:t>‐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2%</w:t>
      </w: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;</w:t>
      </w:r>
    </w:p>
    <w:p w:rsidR="00A13AF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нвестиционная функция бюджета подорвана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41A8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–</w:t>
      </w:r>
      <w:r w:rsidR="003041A8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 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э</w:t>
      </w:r>
      <w:r w:rsidR="003041A8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миссионное кредитование </w:t>
      </w:r>
      <w:r w:rsidR="001B2030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экономики </w:t>
      </w:r>
      <w:r w:rsidR="003041A8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блокируется валютной либерализацией и беспрепятственным оттоком капитала за рубеж (дерегулировани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ем);</w:t>
      </w:r>
    </w:p>
    <w:p w:rsidR="00185EE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олговое кредитование </w:t>
      </w:r>
      <w:r w:rsidR="001B2030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 бессмысленн</w:t>
      </w:r>
      <w:r w:rsidR="001B2030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: зарубежные за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мы нереалистичны из</w:t>
      </w:r>
      <w:r w:rsidR="00A13AF3" w:rsidRPr="0045104C">
        <w:rPr>
          <w:rFonts w:ascii="Cambria Math" w:hAnsi="Cambria Math" w:cs="Cambria Math"/>
          <w:color w:val="000000"/>
          <w:sz w:val="24"/>
          <w:szCs w:val="24"/>
          <w:lang w:eastAsia="ru-RU"/>
        </w:rPr>
        <w:t>‐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731B8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мусорного</w:t>
      </w:r>
      <w:r w:rsidR="00731B81" w:rsidRPr="0045104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рейтинга, а внутренние – из</w:t>
      </w:r>
      <w:r w:rsidR="00A13AF3" w:rsidRPr="0045104C">
        <w:rPr>
          <w:rFonts w:ascii="Cambria Math" w:hAnsi="Cambria Math" w:cs="Cambria Math"/>
          <w:color w:val="000000"/>
          <w:sz w:val="24"/>
          <w:szCs w:val="24"/>
          <w:lang w:eastAsia="ru-RU"/>
        </w:rPr>
        <w:t>‐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за вымывания инвест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ционного спроса.</w:t>
      </w: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3AF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результате, в экономике страны сокращается величина капитальных вложений и ВВП России стремится к падению.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EE917F" wp14:editId="20507CB2">
            <wp:extent cx="5949537" cy="2826327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13AF3" w:rsidRPr="0045104C" w:rsidRDefault="00A13AF3" w:rsidP="0045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04C">
        <w:rPr>
          <w:rFonts w:ascii="Times New Roman" w:hAnsi="Times New Roman"/>
          <w:sz w:val="24"/>
          <w:szCs w:val="24"/>
        </w:rPr>
        <w:t xml:space="preserve">Рисунок 9. </w:t>
      </w:r>
      <w:r w:rsidRPr="0045104C">
        <w:rPr>
          <w:rFonts w:ascii="Times New Roman" w:hAnsi="Times New Roman"/>
          <w:b/>
          <w:sz w:val="24"/>
          <w:szCs w:val="24"/>
        </w:rPr>
        <w:t xml:space="preserve">Рентабельность реального сектора и процентная ставка в России, </w:t>
      </w:r>
      <w:r w:rsidR="00C906AC" w:rsidRPr="0045104C">
        <w:rPr>
          <w:rFonts w:ascii="Times New Roman" w:hAnsi="Times New Roman"/>
          <w:sz w:val="24"/>
          <w:szCs w:val="24"/>
        </w:rPr>
        <w:t>% [</w:t>
      </w:r>
      <w:r w:rsidR="00315371" w:rsidRPr="0045104C">
        <w:rPr>
          <w:rFonts w:ascii="Times New Roman" w:hAnsi="Times New Roman"/>
          <w:sz w:val="24"/>
          <w:szCs w:val="24"/>
        </w:rPr>
        <w:t>10</w:t>
      </w:r>
      <w:r w:rsidRPr="0045104C">
        <w:rPr>
          <w:rFonts w:ascii="Times New Roman" w:hAnsi="Times New Roman"/>
          <w:sz w:val="24"/>
          <w:szCs w:val="24"/>
        </w:rPr>
        <w:t>]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38EE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Таким образом, м</w:t>
      </w:r>
      <w:r w:rsidR="001B2030"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ожно сделать вывод</w:t>
      </w: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том</w:t>
      </w:r>
      <w:r w:rsidR="001B2030"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с</w:t>
      </w:r>
      <w:r w:rsidR="00A13AF3"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уществующая </w:t>
      </w: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система управления экономикой </w:t>
      </w:r>
      <w:r w:rsidR="00A13AF3"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включает в себя методов планового воздействия на ключевые факторы экономического роста – эффективность капитальных вложений и долю суммарного накопления.</w:t>
      </w:r>
      <w:r w:rsidR="009538EE"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вопрос поиска источников роста экономики не теряет актуальности.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Согласно методологии </w:t>
      </w:r>
      <w:r w:rsidR="003041A8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национального счетоводства,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ВВП, или конечный спрос (</w:t>
      </w:r>
      <w:r w:rsidRPr="0045104C"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  <w:t>Y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) </w:t>
      </w:r>
      <w:r w:rsidR="003041A8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включает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заработную плату </w:t>
      </w:r>
      <w:r w:rsidRPr="0045104C">
        <w:rPr>
          <w:rFonts w:ascii="Times New Roman" w:hAnsi="Times New Roman"/>
          <w:i/>
          <w:color w:val="000000"/>
          <w:spacing w:val="-4"/>
          <w:sz w:val="24"/>
          <w:szCs w:val="24"/>
          <w:lang w:val="en-US" w:eastAsia="ru-RU"/>
        </w:rPr>
        <w:t>v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(выражает интерес работника); валовую прибыль </w:t>
      </w:r>
      <w:r w:rsidRPr="0045104C">
        <w:rPr>
          <w:rFonts w:ascii="Times New Roman" w:hAnsi="Times New Roman"/>
          <w:i/>
          <w:color w:val="000000"/>
          <w:spacing w:val="-4"/>
          <w:sz w:val="24"/>
          <w:szCs w:val="24"/>
          <w:lang w:val="en-US" w:eastAsia="ru-RU"/>
        </w:rPr>
        <w:t>s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(интерес частного собственника) и государственный бюджет </w:t>
      </w:r>
      <w:r w:rsidRPr="0045104C">
        <w:rPr>
          <w:rFonts w:ascii="Times New Roman" w:hAnsi="Times New Roman"/>
          <w:i/>
          <w:color w:val="000000"/>
          <w:spacing w:val="-4"/>
          <w:sz w:val="24"/>
          <w:szCs w:val="24"/>
          <w:lang w:val="en-US" w:eastAsia="ru-RU"/>
        </w:rPr>
        <w:t>b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(интерес совокупного, социального к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питала)</w:t>
      </w:r>
      <w:r w:rsidR="00315371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[8, 15]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Y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v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s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85EE3" w:rsidRPr="0045104C" w:rsidRDefault="00185EE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Следовательно,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ВВП можно 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увеличивать 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за счет максимизации отдельных его эл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13AF3"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ментов. 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действует вариант с максимизацией прибыли промежуточного выпуска </w:t>
      </w:r>
      <w:r w:rsidRPr="0045104C">
        <w:rPr>
          <w:rFonts w:ascii="Times New Roman" w:hAnsi="Times New Roman"/>
          <w:bCs/>
          <w:color w:val="000000"/>
          <w:spacing w:val="-4"/>
          <w:sz w:val="24"/>
          <w:szCs w:val="24"/>
          <w:lang w:eastAsia="ru-RU"/>
        </w:rPr>
        <w:t>[1]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>[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AX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+ (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45104C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→ max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>)] + (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+ 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45104C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→ min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= </w:t>
      </w: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Х</w:t>
      </w:r>
      <w:r w:rsidR="003041A8" w:rsidRPr="0045104C">
        <w:rPr>
          <w:rStyle w:val="a6"/>
          <w:rFonts w:ascii="Times New Roman" w:hAnsi="Times New Roman"/>
          <w:color w:val="000000"/>
          <w:sz w:val="24"/>
          <w:szCs w:val="24"/>
          <w:lang w:eastAsia="ru-RU"/>
        </w:rPr>
        <w:footnoteReference w:id="5"/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.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Однако такой вариант несовместим с максимизацией не только заработной платы, но и госбюджета (феномен офшоризации собственности и прибыли). Результаты функциониров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ния такой экономической </w:t>
      </w:r>
      <w:r w:rsidR="00185EE3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модели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приведенные выше, доказывают н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еобходимость ее изм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51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нения. 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Требованиям и задачам модернизации экономики страны, проведения новой инд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стриализации</w:t>
      </w:r>
      <w:r w:rsidR="00B112F3" w:rsidRPr="0045104C">
        <w:rPr>
          <w:rStyle w:val="a6"/>
          <w:rFonts w:ascii="Times New Roman" w:hAnsi="Times New Roman"/>
          <w:color w:val="000000"/>
          <w:spacing w:val="-2"/>
          <w:sz w:val="24"/>
          <w:szCs w:val="24"/>
          <w:lang w:eastAsia="ru-RU"/>
        </w:rPr>
        <w:footnoteReference w:id="6"/>
      </w:r>
      <w:r w:rsidR="00B112F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85EE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отвечает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="00185EE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прежде всего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="00185EE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курс на максимизацию зарплаты и госбюджета, а также минимизацию прибыли промежуточных стадий производства в составе </w:t>
      </w:r>
      <w:r w:rsidR="00185EE3"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val="en-US" w:eastAsia="ru-RU"/>
        </w:rPr>
        <w:t>Y</w:t>
      </w:r>
      <w:r w:rsidR="00185EE3" w:rsidRPr="0045104C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. 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="00185EE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сновное уравнение межотраслевого баланса 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при этом принимает </w:t>
      </w:r>
      <w:r w:rsidR="00185EE3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вид </w:t>
      </w:r>
      <w:r w:rsidRPr="0045104C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[1]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: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</w:pP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AX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+ [(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+ 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g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45104C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>→ max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+ (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</w:t>
      </w:r>
      <w:r w:rsidRPr="0045104C">
        <w:rPr>
          <w:rFonts w:ascii="Times New Roman" w:hAnsi="Times New Roman"/>
          <w:color w:val="000000"/>
          <w:sz w:val="24"/>
          <w:szCs w:val="24"/>
          <w:vertAlign w:val="subscript"/>
          <w:lang w:val="en-US" w:eastAsia="ru-RU"/>
        </w:rPr>
        <w:t xml:space="preserve"> → min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="003041A8"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Pr="0045104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= </w:t>
      </w:r>
      <w:r w:rsidRPr="0045104C">
        <w:rPr>
          <w:rFonts w:ascii="Times New Roman" w:hAnsi="Times New Roman"/>
          <w:i/>
          <w:color w:val="000000"/>
          <w:sz w:val="24"/>
          <w:szCs w:val="24"/>
          <w:lang w:eastAsia="ru-RU"/>
        </w:rPr>
        <w:t>Х</w:t>
      </w:r>
      <w:r w:rsidRPr="0045104C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.</w:t>
      </w:r>
    </w:p>
    <w:p w:rsidR="00A13AF3" w:rsidRPr="0045104C" w:rsidRDefault="009168A9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Этим требованиям более всего соответствует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вертикально-интегрированная форма орг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низации народного хозяйства. Как показывает практика</w:t>
      </w:r>
      <w:r w:rsidR="00A13AF3" w:rsidRPr="0045104C">
        <w:rPr>
          <w:rStyle w:val="a6"/>
          <w:rFonts w:ascii="Times New Roman" w:hAnsi="Times New Roman"/>
          <w:color w:val="000000"/>
          <w:spacing w:val="-6"/>
          <w:sz w:val="24"/>
          <w:szCs w:val="24"/>
          <w:lang w:eastAsia="ru-RU"/>
        </w:rPr>
        <w:footnoteReference w:id="7"/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, все известные ныне передовые д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стижения и эффекты высокотехнологичного прогресса реализуемы только в условиях единых вертикально интегрированных цепочек добавленной стоимости, в рамках экономики многоо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т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раслевых </w:t>
      </w: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национальных и транснациональных 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корпораций на базе смешанной, планово</w:t>
      </w:r>
      <w:r w:rsidR="00A13AF3" w:rsidRPr="0045104C">
        <w:rPr>
          <w:rFonts w:ascii="Cambria Math" w:hAnsi="Cambria Math" w:cs="Cambria Math"/>
          <w:color w:val="000000"/>
          <w:spacing w:val="-6"/>
          <w:sz w:val="24"/>
          <w:szCs w:val="24"/>
          <w:lang w:eastAsia="ru-RU"/>
        </w:rPr>
        <w:t>‐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интегрированной экономической системы, которая использует и косвенные, и прямые методы регулирования ключевых воспроизводственных пропорций, начиная с накопления </w:t>
      </w:r>
      <w:r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капитала </w:t>
      </w:r>
      <w:r w:rsidR="00A13AF3" w:rsidRPr="0045104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 его эффективности.</w:t>
      </w:r>
    </w:p>
    <w:p w:rsidR="009168A9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Для 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решения задачи проведения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новой индустриализации России в соответствие с зак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ном вертикальной интеграции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суть которого состоит в том, что промежуточные произво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ства имеют нулевую рентабельность, следует запретить извлечение прибыли из промежуто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ного производства, допуская ее извлечение из производства конечной продукции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[</w:t>
      </w:r>
      <w:r w:rsidR="000F50C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].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Де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й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ствительно, 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многоотраслевые корпорации извлекают 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прибыль не из производства средств производств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а, не из сырья и полуфабрикатов, а из производства продукции высших перед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 w:rsidR="009168A9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лов.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Нефтяные корпорации торгуют не нефтью, а продуктами глубокой нефтепереработки; машиностроительные – не алюминием, медью, чугуном, сталью, а двигателями, станками, машинами, самолетами; электронные – не кремнием и редкоземельными металлами, а ми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</w:t>
      </w: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ропроцессорами и цифровой техникой. </w:t>
      </w:r>
    </w:p>
    <w:p w:rsidR="00A13AF3" w:rsidRPr="0045104C" w:rsidRDefault="00A13AF3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Решение задачи неоиндустриализации 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России по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требует осуществления общегосуда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ственной программы вертикальной интеграции народного хозяйства. Основой </w:t>
      </w:r>
      <w:r w:rsidR="009168A9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экономики страны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должны стать созданные государственные корпорации, </w:t>
      </w:r>
      <w:r w:rsidR="00DC568B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имеющие в своем 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состав</w:t>
      </w:r>
      <w:r w:rsidR="00DC568B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технологически сопряженны</w:t>
      </w:r>
      <w:r w:rsidR="00DC568B"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45104C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производства средств производства.</w:t>
      </w:r>
    </w:p>
    <w:p w:rsidR="00C41C21" w:rsidRPr="0045104C" w:rsidRDefault="009F69EE" w:rsidP="004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Таким образом,</w:t>
      </w:r>
      <w:r w:rsidR="009A060C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проведение новой наукоемкой индустриализации, направленной на усиления интеграции добывающего и обрабатывающего секторов народного хозяйства, по</w:t>
      </w:r>
      <w:r w:rsidR="009A060C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</w:t>
      </w:r>
      <w:r w:rsidR="009A060C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волит преодолеть системный кризис в экономике России.</w:t>
      </w:r>
      <w:r w:rsidR="00C41C21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Ключевыми управляемыми факт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рами неоиндустриального развития экономики при этом должны стать 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обеспечение должного уровня 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эффективност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капиталовложений и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дол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накопления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а также поддержание покуп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  <w:r w:rsidR="00C77AA7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тельной силы рубля</w:t>
      </w:r>
      <w:r w:rsidR="00DC568B" w:rsidRPr="004510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C77AA7" w:rsidRPr="0045104C" w:rsidRDefault="00C77AA7" w:rsidP="0045104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12F3" w:rsidRPr="0045104C" w:rsidRDefault="00C41C21" w:rsidP="0045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Губанов, С. Неоиндустриализация плюс вертикальная интеграция (о формуле ра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вития России) [Текст] / С. Губанов // Экономист. – 2008. – № 9. – С. 3-27.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Губанов, С.С. Державный прорыв. Неоиндустриализация России и вертикальная интеграция [Текст] / С.С. Губанов. – М.: Книжный мир, 2012. – 224 с.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Губанов, С.С. Системный кризис и выбор пути развития России [Текст] / С.С. Г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банов // Экономические и социальные перемены: факты, тенденции, прогноз. – 2015. – №</w:t>
      </w:r>
      <w:r w:rsidRPr="0045104C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2 (38). – С. 23-41.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Ильин, В.А. Проблемы эффективности государственного управления. Тенденции рыночных трансформаций. Кризис бюджетной системы. Роль частного капитала. Страт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гия-2020: проблемы реализации [Текст]: монография / В.А. Ильин, А.И. Поварова. – В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логда: ИСЭРТ РАН, 2014. – 188 с.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Корнейчук, Б. Теоретические и идеологические основы доктрины «новой инд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стриализации» [Текст] / Б. Корнейчук // Вопросы экономики. – 2014. – № 3. – С. 141-149.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 xml:space="preserve">Коссов, В.В. Межотраслевой баланс [Текст] / В.В. Коссов. – М.: «Экономика», 1966. – 224 с.  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Кучуков, Р. Модернизация экономики: проблемы и задачи [Текст] / Р. Кучуков // Экономист. – 2010. – № 1. – С. 20-29.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lastRenderedPageBreak/>
        <w:t>Леонтьев, В.В. Межотраслевая экономика [Текст] / В.В. Леонтьев. – М.: Эконом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 xml:space="preserve">ка, 1997. 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– 479 с. 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Лукин, Е.В. Параметры технологического развития экономики России [Электронный ресурс] / Е.В. Лукин // Вопросы территориального развития. – 2015. – № 7 (27). – Режим д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о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ступа: 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http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://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vtr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isert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-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ran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ru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file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php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?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module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=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Articles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&amp;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action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=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view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&amp;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file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=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article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&amp;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aid</w:t>
      </w:r>
      <w:r w:rsidRPr="0045104C">
        <w:rPr>
          <w:rFonts w:ascii="Times New Roman" w:hAnsi="Times New Roman"/>
          <w:color w:val="000000" w:themeColor="text1"/>
          <w:spacing w:val="-4"/>
          <w:sz w:val="24"/>
          <w:szCs w:val="24"/>
        </w:rPr>
        <w:t>=5245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Национальные счета России [Электронный ресурс] / Федеральная служба гос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5104C">
        <w:rPr>
          <w:rFonts w:ascii="Times New Roman" w:hAnsi="Times New Roman"/>
          <w:color w:val="000000" w:themeColor="text1"/>
          <w:sz w:val="24"/>
          <w:szCs w:val="24"/>
        </w:rPr>
        <w:t>дарственной статистики. – Режим доступа: http://www.gks.ru/bgd/regl/b14_15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Сухарев, О. Реиндустриализация России: возможности и ограничения [Текст] / О. Сухарев // Экономист. – 2013. – № 3. – С. 6-12.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Сухарев, О.С. Экономическая политика и развитие промышленности [Текст] / О.С. Сухарев. – М.: Финансы и кредит, 2011. – 216 с.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</w:rPr>
        <w:t>Ускова, Т.В. Управление устойчивым развитием региона [Текст]: монография / Т.В. Ускова. – Вологда: ИСЭРТ РАН, 2009. – 355 с.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  <w:lang w:val="en-US"/>
        </w:rPr>
        <w:t>Input-Output Accounts Data [Electronic resource] / Bureau of Economic Analysis. – Available at : http://bea.gov/industry/io_annual.htm</w:t>
      </w:r>
    </w:p>
    <w:p w:rsidR="00315371" w:rsidRPr="0045104C" w:rsidRDefault="00315371" w:rsidP="0045104C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104C">
        <w:rPr>
          <w:rFonts w:ascii="Times New Roman" w:hAnsi="Times New Roman"/>
          <w:color w:val="000000" w:themeColor="text1"/>
          <w:sz w:val="24"/>
          <w:szCs w:val="24"/>
          <w:lang w:val="en-US"/>
        </w:rPr>
        <w:t>Raa, T. The Economics of Input-Output Analysis [Text] / T. Raa. – Cambridge: Ca</w:t>
      </w:r>
      <w:r w:rsidRPr="0045104C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45104C">
        <w:rPr>
          <w:rFonts w:ascii="Times New Roman" w:hAnsi="Times New Roman"/>
          <w:color w:val="000000" w:themeColor="text1"/>
          <w:sz w:val="24"/>
          <w:szCs w:val="24"/>
          <w:lang w:val="en-US"/>
        </w:rPr>
        <w:t>bridge University Press, 2005. – 212 p.</w:t>
      </w:r>
    </w:p>
    <w:sectPr w:rsidR="00315371" w:rsidRPr="0045104C" w:rsidSect="000F50C9">
      <w:footerReference w:type="default" r:id="rId28"/>
      <w:pgSz w:w="11906" w:h="16838"/>
      <w:pgMar w:top="1134" w:right="850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71" w:rsidRDefault="00315371" w:rsidP="00A13AF3">
      <w:pPr>
        <w:spacing w:after="0" w:line="240" w:lineRule="auto"/>
      </w:pPr>
      <w:r>
        <w:separator/>
      </w:r>
    </w:p>
  </w:endnote>
  <w:endnote w:type="continuationSeparator" w:id="0">
    <w:p w:rsidR="00315371" w:rsidRDefault="00315371" w:rsidP="00A1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99064"/>
      <w:docPartObj>
        <w:docPartGallery w:val="Page Numbers (Bottom of Page)"/>
        <w:docPartUnique/>
      </w:docPartObj>
    </w:sdtPr>
    <w:sdtEndPr/>
    <w:sdtContent>
      <w:p w:rsidR="00315371" w:rsidRDefault="003153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8A">
          <w:rPr>
            <w:noProof/>
          </w:rPr>
          <w:t>1</w:t>
        </w:r>
        <w:r>
          <w:fldChar w:fldCharType="end"/>
        </w:r>
      </w:p>
    </w:sdtContent>
  </w:sdt>
  <w:p w:rsidR="00315371" w:rsidRDefault="003153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71" w:rsidRDefault="00315371" w:rsidP="00A13AF3">
      <w:pPr>
        <w:spacing w:after="0" w:line="240" w:lineRule="auto"/>
      </w:pPr>
      <w:r>
        <w:separator/>
      </w:r>
    </w:p>
  </w:footnote>
  <w:footnote w:type="continuationSeparator" w:id="0">
    <w:p w:rsidR="00315371" w:rsidRDefault="00315371" w:rsidP="00A13AF3">
      <w:pPr>
        <w:spacing w:after="0" w:line="240" w:lineRule="auto"/>
      </w:pPr>
      <w:r>
        <w:continuationSeparator/>
      </w:r>
    </w:p>
  </w:footnote>
  <w:footnote w:id="1">
    <w:p w:rsidR="00315371" w:rsidRPr="00DC568B" w:rsidRDefault="00315371" w:rsidP="001B2030">
      <w:pPr>
        <w:spacing w:after="0" w:line="240" w:lineRule="auto"/>
        <w:ind w:firstLine="567"/>
        <w:jc w:val="both"/>
      </w:pPr>
      <w:r w:rsidRPr="00DC568B">
        <w:rPr>
          <w:rFonts w:ascii="Times New Roman" w:hAnsi="Times New Roman"/>
          <w:sz w:val="20"/>
          <w:szCs w:val="20"/>
          <w:vertAlign w:val="superscript"/>
        </w:rPr>
        <w:footnoteRef/>
      </w:r>
      <w:r w:rsidRPr="00DC568B">
        <w:rPr>
          <w:rFonts w:ascii="Times New Roman" w:hAnsi="Times New Roman"/>
          <w:sz w:val="20"/>
          <w:szCs w:val="20"/>
        </w:rPr>
        <w:t> Воспроизводственная структура – это соотношение между различными видами использования ВВП: потреблением, накоплением и экспортом. Она является важным показателем эффективного экономического развития.</w:t>
      </w:r>
    </w:p>
  </w:footnote>
  <w:footnote w:id="2">
    <w:p w:rsidR="00315371" w:rsidRPr="003D18E1" w:rsidRDefault="00315371" w:rsidP="001B2030">
      <w:pPr>
        <w:pStyle w:val="a4"/>
        <w:ind w:firstLine="567"/>
        <w:jc w:val="both"/>
        <w:rPr>
          <w:lang w:val="ru-RU"/>
        </w:rPr>
      </w:pPr>
      <w:r w:rsidRPr="003D18E1">
        <w:rPr>
          <w:rStyle w:val="a6"/>
        </w:rPr>
        <w:footnoteRef/>
      </w:r>
      <w:r>
        <w:rPr>
          <w:lang w:val="ru-RU"/>
        </w:rPr>
        <w:t> </w:t>
      </w:r>
      <w:r>
        <w:rPr>
          <w:spacing w:val="-4"/>
          <w:lang w:val="ru-RU"/>
        </w:rPr>
        <w:t>Э</w:t>
      </w:r>
      <w:r w:rsidRPr="003D18E1">
        <w:rPr>
          <w:spacing w:val="-4"/>
        </w:rPr>
        <w:t xml:space="preserve">ффективность капитальных вложений </w:t>
      </w:r>
      <w:r>
        <w:rPr>
          <w:spacing w:val="-4"/>
          <w:lang w:val="ru-RU"/>
        </w:rPr>
        <w:t xml:space="preserve">– </w:t>
      </w:r>
      <w:r w:rsidRPr="003D18E1">
        <w:rPr>
          <w:spacing w:val="-4"/>
        </w:rPr>
        <w:t>разность между объемом ВВП в текущих ценах, скорректированным на индекс-дефлятор, и объемом ВВП прошлого периода, деленная на величину фон</w:t>
      </w:r>
      <w:r>
        <w:rPr>
          <w:spacing w:val="-4"/>
        </w:rPr>
        <w:t>да накоплени</w:t>
      </w:r>
      <w:r>
        <w:rPr>
          <w:spacing w:val="-4"/>
          <w:lang w:val="ru-RU"/>
        </w:rPr>
        <w:t>я.</w:t>
      </w:r>
    </w:p>
  </w:footnote>
  <w:footnote w:id="3">
    <w:p w:rsidR="00315371" w:rsidRPr="003D18E1" w:rsidRDefault="00315371" w:rsidP="001B2030">
      <w:pPr>
        <w:pStyle w:val="a4"/>
        <w:ind w:firstLine="567"/>
        <w:jc w:val="both"/>
        <w:rPr>
          <w:lang w:val="ru-RU"/>
        </w:rPr>
      </w:pPr>
      <w:r w:rsidRPr="003D18E1">
        <w:rPr>
          <w:rStyle w:val="a6"/>
        </w:rPr>
        <w:footnoteRef/>
      </w:r>
      <w:r>
        <w:rPr>
          <w:lang w:val="ru-RU"/>
        </w:rPr>
        <w:t> Доля накопления – у</w:t>
      </w:r>
      <w:r w:rsidRPr="003D18E1">
        <w:rPr>
          <w:spacing w:val="-4"/>
        </w:rPr>
        <w:t>дельный вес капитальных вложений в ВВП</w:t>
      </w:r>
      <w:r>
        <w:rPr>
          <w:spacing w:val="-4"/>
          <w:lang w:val="ru-RU"/>
        </w:rPr>
        <w:t>.</w:t>
      </w:r>
    </w:p>
  </w:footnote>
  <w:footnote w:id="4">
    <w:p w:rsidR="00315371" w:rsidRPr="001B2030" w:rsidRDefault="00315371" w:rsidP="001B2030">
      <w:pPr>
        <w:pStyle w:val="a4"/>
        <w:ind w:firstLine="567"/>
        <w:jc w:val="both"/>
        <w:rPr>
          <w:spacing w:val="-2"/>
          <w:lang w:val="ru-RU"/>
        </w:rPr>
      </w:pPr>
      <w:r w:rsidRPr="001B2030">
        <w:rPr>
          <w:rStyle w:val="a6"/>
          <w:spacing w:val="-2"/>
        </w:rPr>
        <w:footnoteRef/>
      </w:r>
      <w:r>
        <w:rPr>
          <w:spacing w:val="-2"/>
          <w:lang w:val="ru-RU"/>
        </w:rPr>
        <w:t> </w:t>
      </w:r>
      <w:r w:rsidRPr="001B2030">
        <w:rPr>
          <w:spacing w:val="-2"/>
          <w:lang w:val="ru-RU"/>
        </w:rPr>
        <w:t>Высокие темпы обновления основных фондов требуют высокой доли накопления в ВВП. Для примера, доля накопления в таких развивающихся странах, как Китай и Индия составляет соответственно 48 и 36%.</w:t>
      </w:r>
    </w:p>
  </w:footnote>
  <w:footnote w:id="5">
    <w:p w:rsidR="00315371" w:rsidRPr="003041A8" w:rsidRDefault="00315371" w:rsidP="001B2030">
      <w:pPr>
        <w:pStyle w:val="a4"/>
        <w:ind w:firstLine="567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 Согласно основному уравнению межотраслевого баланса </w:t>
      </w:r>
      <w:r>
        <w:rPr>
          <w:lang w:val="en-US"/>
        </w:rPr>
        <w:t>AX</w:t>
      </w:r>
      <w:r w:rsidRPr="003041A8">
        <w:rPr>
          <w:lang w:val="ru-RU"/>
        </w:rPr>
        <w:t xml:space="preserve"> + </w:t>
      </w:r>
      <w:r>
        <w:rPr>
          <w:lang w:val="en-US"/>
        </w:rPr>
        <w:t>Y</w:t>
      </w:r>
      <w:r w:rsidRPr="003041A8">
        <w:rPr>
          <w:lang w:val="ru-RU"/>
        </w:rPr>
        <w:t xml:space="preserve"> = </w:t>
      </w:r>
      <w:r>
        <w:rPr>
          <w:lang w:val="en-US"/>
        </w:rPr>
        <w:t>X</w:t>
      </w:r>
      <w:r>
        <w:rPr>
          <w:lang w:val="ru-RU"/>
        </w:rPr>
        <w:t xml:space="preserve">, где </w:t>
      </w:r>
      <w:r>
        <w:rPr>
          <w:lang w:val="en-US"/>
        </w:rPr>
        <w:t>AX</w:t>
      </w:r>
      <w:r w:rsidRPr="003041A8">
        <w:rPr>
          <w:lang w:val="ru-RU"/>
        </w:rPr>
        <w:t xml:space="preserve"> – </w:t>
      </w:r>
      <w:r>
        <w:rPr>
          <w:lang w:val="ru-RU"/>
        </w:rPr>
        <w:t>промежуточное п</w:t>
      </w:r>
      <w:r>
        <w:rPr>
          <w:lang w:val="ru-RU"/>
        </w:rPr>
        <w:t>о</w:t>
      </w:r>
      <w:r>
        <w:rPr>
          <w:lang w:val="ru-RU"/>
        </w:rPr>
        <w:t xml:space="preserve">требление, </w:t>
      </w:r>
      <w:r>
        <w:rPr>
          <w:lang w:val="en-US"/>
        </w:rPr>
        <w:t>Y</w:t>
      </w:r>
      <w:r w:rsidRPr="003041A8">
        <w:rPr>
          <w:lang w:val="ru-RU"/>
        </w:rPr>
        <w:t xml:space="preserve"> </w:t>
      </w:r>
      <w:r>
        <w:rPr>
          <w:lang w:val="ru-RU"/>
        </w:rPr>
        <w:t xml:space="preserve">– конечное потребление, </w:t>
      </w:r>
      <w:r>
        <w:rPr>
          <w:lang w:val="en-US"/>
        </w:rPr>
        <w:t>X</w:t>
      </w:r>
      <w:r w:rsidRPr="003041A8">
        <w:rPr>
          <w:lang w:val="ru-RU"/>
        </w:rPr>
        <w:t xml:space="preserve"> </w:t>
      </w:r>
      <w:r>
        <w:rPr>
          <w:lang w:val="ru-RU"/>
        </w:rPr>
        <w:t xml:space="preserve">– валовой выпуск </w:t>
      </w:r>
      <w:r w:rsidRPr="00315371">
        <w:rPr>
          <w:lang w:val="ru-RU"/>
        </w:rPr>
        <w:t>[</w:t>
      </w:r>
      <w:r>
        <w:rPr>
          <w:lang w:val="ru-RU"/>
        </w:rPr>
        <w:t>6</w:t>
      </w:r>
      <w:r w:rsidRPr="00315371">
        <w:rPr>
          <w:lang w:val="ru-RU"/>
        </w:rPr>
        <w:t>]</w:t>
      </w:r>
      <w:r>
        <w:rPr>
          <w:lang w:val="ru-RU"/>
        </w:rPr>
        <w:t>.</w:t>
      </w:r>
    </w:p>
  </w:footnote>
  <w:footnote w:id="6"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Style w:val="a6"/>
          <w:rFonts w:ascii="Times New Roman" w:hAnsi="Times New Roman"/>
          <w:sz w:val="20"/>
          <w:szCs w:val="20"/>
        </w:rPr>
        <w:footnoteRef/>
      </w:r>
      <w:r w:rsidRPr="000F50C9">
        <w:rPr>
          <w:rFonts w:ascii="Times New Roman" w:hAnsi="Times New Roman"/>
          <w:sz w:val="20"/>
          <w:szCs w:val="20"/>
        </w:rPr>
        <w:t xml:space="preserve"> Новая и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ндустриализация (неоиндустриализация) – исторически закономерный процесс развития производительных сил, который разворачивается после завершения в основном первой фазы индустриал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зации – электрификации. Он представляет собой вторую фазу индустриализации, т.е. автоматизацию и ко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м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пьютеризацию производственного аппарата.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Социально-экономическая цель новой индустриализации заключается в создании народнохозя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ственной системы автоматизированных машин, функционирующей в соответствии с принцип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ми: трудосбережения; вертикальной интеграции; «точно вовремя»; безлюдности; безотходности; рецирк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ляции ресурсов; воспроизводства человека и здоровой окружающей среды.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Качественной мерой новой индустриализации выступает прогрессивное изменение характера труда и структуры занятости, сопровождаемое сокращением доли физического труда и увеличением доли умстве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ного; становлением интеллектуального труда как массового и преобладающего; трудосбережением.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Количественной мерой новой индустриализации служит удельный вес автоматизированных, оцифр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ванных рабочих мест в народном хозяйстве, прежде всего – в материальном производстве.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Базисным продуктом новой индустриализации являются микропроцессоры и микропроцессорные устройства. Исторически поворот к ней начался с микропроцессорной революции в 1970-х гг.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Непосредственный результат новой индустриализации состоит в достижении технотронного уровня развития производительных сил, основанного на технотронной триаде: совокупный работник – ЭВМ – а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томатизированные средства производства.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Социальный результат новой индустриализации воплощается в формировании основ нового общ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ства, для которого на первом месте стоит воспроизводство человека и качества жизни, а не прибыли.</w:t>
      </w:r>
    </w:p>
    <w:p w:rsidR="00315371" w:rsidRPr="000F50C9" w:rsidRDefault="00315371" w:rsidP="00B112F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F50C9">
        <w:rPr>
          <w:rFonts w:ascii="Times New Roman" w:hAnsi="Times New Roman"/>
          <w:color w:val="000000" w:themeColor="text1"/>
          <w:sz w:val="20"/>
          <w:szCs w:val="20"/>
        </w:rPr>
        <w:t>Подъем производительных сил на технотронный уровень развития гарантирует превращение науки в непосредственную производительную силу общества. Соответственно, вся совокупность отличительных признаков второй, технотронной фазы индустриализации суммируется в ее наукоемком характере, связа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Pr="000F50C9">
        <w:rPr>
          <w:rFonts w:ascii="Times New Roman" w:hAnsi="Times New Roman"/>
          <w:color w:val="000000" w:themeColor="text1"/>
          <w:sz w:val="20"/>
          <w:szCs w:val="20"/>
        </w:rPr>
        <w:t>ном с планомерным замещением трудоемких рабочих мест машиноемкими, трудосберегающими [1, 2].</w:t>
      </w:r>
    </w:p>
  </w:footnote>
  <w:footnote w:id="7">
    <w:p w:rsidR="00315371" w:rsidRPr="00B112F3" w:rsidRDefault="00315371" w:rsidP="00B112F3">
      <w:pPr>
        <w:pStyle w:val="a4"/>
        <w:ind w:firstLine="567"/>
        <w:jc w:val="both"/>
        <w:rPr>
          <w:lang w:val="ru-RU"/>
        </w:rPr>
      </w:pPr>
      <w:r w:rsidRPr="000F50C9">
        <w:rPr>
          <w:rStyle w:val="a6"/>
        </w:rPr>
        <w:footnoteRef/>
      </w:r>
      <w:r w:rsidRPr="000F50C9">
        <w:rPr>
          <w:lang w:val="ru-RU"/>
        </w:rPr>
        <w:t> </w:t>
      </w:r>
      <w:r w:rsidRPr="000F50C9">
        <w:t>Если обратиться к группировке корпораций США по концентрации капитала и прибыли, то увидим, как в период 1970-2005 гг. неуклонно и систематически укреплялись доминирующие позиции крупнейших, вертикально интегрированных структур с капиталом более 1 млрд. долл.</w:t>
      </w:r>
      <w:r w:rsidRPr="000F50C9">
        <w:rPr>
          <w:lang w:val="ru-RU"/>
        </w:rPr>
        <w:t xml:space="preserve"> </w:t>
      </w:r>
      <w:r w:rsidRPr="000F50C9">
        <w:t xml:space="preserve">В 1970 г. крупные вертикально интегрированные корпорации обладали 48,8% совокупного капитала, 51,9% </w:t>
      </w:r>
      <w:r w:rsidRPr="000F50C9">
        <w:rPr>
          <w:lang w:val="ru-RU"/>
        </w:rPr>
        <w:t>–</w:t>
      </w:r>
      <w:r w:rsidRPr="000F50C9">
        <w:t xml:space="preserve"> прибыли; в 2005 г. их доля поднялась, соответственно, до 83,2 и 86%. Сопоставима также их доля в экспорте, накоплениях, НИР и НИОКР, инновациях. Короче говоря, в развитых странах полностью доминирует экономика корпораций, а не малых предприятий. Безраздельно господствует именно экономика вертикальной интеграции, в отличие от пореформенной России, где возобладала экономика частнокапиталистической стихии, дезинтеграции и децентрализации</w:t>
      </w:r>
      <w:r w:rsidRPr="000F50C9">
        <w:rPr>
          <w:lang w:val="ru-RU"/>
        </w:rPr>
        <w:t>. На ведущих направлениях неоиндустриализации – электроника и технотронное двигат</w:t>
      </w:r>
      <w:r w:rsidRPr="000F50C9">
        <w:rPr>
          <w:lang w:val="ru-RU"/>
        </w:rPr>
        <w:t>е</w:t>
      </w:r>
      <w:r w:rsidRPr="000F50C9">
        <w:rPr>
          <w:lang w:val="ru-RU"/>
        </w:rPr>
        <w:t xml:space="preserve">лестроение – господство ТНК просто безоговорочное </w:t>
      </w:r>
      <w:r w:rsidRPr="000F50C9">
        <w:t>[</w:t>
      </w:r>
      <w:r w:rsidRPr="000F50C9">
        <w:rPr>
          <w:lang w:val="ru-RU"/>
        </w:rPr>
        <w:t>1</w:t>
      </w:r>
      <w:r w:rsidRPr="000F50C9"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FD"/>
    <w:multiLevelType w:val="hybridMultilevel"/>
    <w:tmpl w:val="AA727FB8"/>
    <w:lvl w:ilvl="0" w:tplc="59C660A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B020BD"/>
    <w:multiLevelType w:val="hybridMultilevel"/>
    <w:tmpl w:val="3B72DD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4"/>
    <w:rsid w:val="00057EB1"/>
    <w:rsid w:val="000C1A1F"/>
    <w:rsid w:val="000F50C9"/>
    <w:rsid w:val="00154CB7"/>
    <w:rsid w:val="00185EE3"/>
    <w:rsid w:val="001B2030"/>
    <w:rsid w:val="002D46DA"/>
    <w:rsid w:val="002E685F"/>
    <w:rsid w:val="003041A8"/>
    <w:rsid w:val="00315371"/>
    <w:rsid w:val="003D18E1"/>
    <w:rsid w:val="0045104C"/>
    <w:rsid w:val="00462559"/>
    <w:rsid w:val="00502523"/>
    <w:rsid w:val="00506404"/>
    <w:rsid w:val="00513ABE"/>
    <w:rsid w:val="005664DC"/>
    <w:rsid w:val="00572D24"/>
    <w:rsid w:val="00694A3B"/>
    <w:rsid w:val="006C169A"/>
    <w:rsid w:val="006C1AD6"/>
    <w:rsid w:val="00731B81"/>
    <w:rsid w:val="007505B8"/>
    <w:rsid w:val="009168A9"/>
    <w:rsid w:val="0094308A"/>
    <w:rsid w:val="009538EE"/>
    <w:rsid w:val="00976188"/>
    <w:rsid w:val="009761B6"/>
    <w:rsid w:val="009A060C"/>
    <w:rsid w:val="009C375F"/>
    <w:rsid w:val="009F268C"/>
    <w:rsid w:val="009F69EE"/>
    <w:rsid w:val="00A13AF3"/>
    <w:rsid w:val="00B112F3"/>
    <w:rsid w:val="00B338E3"/>
    <w:rsid w:val="00BB3504"/>
    <w:rsid w:val="00C41C21"/>
    <w:rsid w:val="00C77AA7"/>
    <w:rsid w:val="00C906AC"/>
    <w:rsid w:val="00D63692"/>
    <w:rsid w:val="00DC568B"/>
    <w:rsid w:val="00E231E6"/>
    <w:rsid w:val="00E26055"/>
    <w:rsid w:val="00E809FB"/>
    <w:rsid w:val="00EE150B"/>
    <w:rsid w:val="00F42381"/>
    <w:rsid w:val="00F56542"/>
    <w:rsid w:val="00FB1651"/>
    <w:rsid w:val="00F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3"/>
    <w:rPr>
      <w:rFonts w:ascii="Calibri" w:eastAsia="Calibri" w:hAnsi="Calibri" w:cs="Times New Roman"/>
    </w:rPr>
  </w:style>
  <w:style w:type="paragraph" w:styleId="3">
    <w:name w:val="heading 3"/>
    <w:aliases w:val="ЗАГ_3"/>
    <w:basedOn w:val="a"/>
    <w:next w:val="a"/>
    <w:link w:val="30"/>
    <w:uiPriority w:val="9"/>
    <w:qFormat/>
    <w:rsid w:val="00A13AF3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bCs/>
      <w:sz w:val="28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_3 Знак"/>
    <w:basedOn w:val="a0"/>
    <w:link w:val="3"/>
    <w:uiPriority w:val="9"/>
    <w:rsid w:val="00A13AF3"/>
    <w:rPr>
      <w:rFonts w:ascii="Arial" w:eastAsia="Times New Roman" w:hAnsi="Arial" w:cs="Times New Roman"/>
      <w:b/>
      <w:bCs/>
      <w:sz w:val="28"/>
      <w:szCs w:val="26"/>
      <w:lang w:val="x-none" w:eastAsia="ru-RU"/>
    </w:rPr>
  </w:style>
  <w:style w:type="table" w:styleId="a3">
    <w:name w:val="Table Grid"/>
    <w:basedOn w:val="a1"/>
    <w:uiPriority w:val="59"/>
    <w:rsid w:val="00A13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-FN,Footnote Text Char Знак Знак,Footnote Text Char Знак,Table_Footnote_last Знак,Table_Footnote_last Знак Знак,Table_Footnote_last"/>
    <w:basedOn w:val="a"/>
    <w:link w:val="a5"/>
    <w:uiPriority w:val="99"/>
    <w:rsid w:val="00A13A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Table_Footnote_last Знак Знак1,Table_Footnote_last Знак Знак Знак,Table_Footnote_last Знак1"/>
    <w:basedOn w:val="a0"/>
    <w:link w:val="a4"/>
    <w:uiPriority w:val="99"/>
    <w:rsid w:val="00A13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aliases w:val="Знак сноски-FN"/>
    <w:uiPriority w:val="99"/>
    <w:semiHidden/>
    <w:rsid w:val="00A13A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F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2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2F3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112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7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3"/>
    <w:rPr>
      <w:rFonts w:ascii="Calibri" w:eastAsia="Calibri" w:hAnsi="Calibri" w:cs="Times New Roman"/>
    </w:rPr>
  </w:style>
  <w:style w:type="paragraph" w:styleId="3">
    <w:name w:val="heading 3"/>
    <w:aliases w:val="ЗАГ_3"/>
    <w:basedOn w:val="a"/>
    <w:next w:val="a"/>
    <w:link w:val="30"/>
    <w:uiPriority w:val="9"/>
    <w:qFormat/>
    <w:rsid w:val="00A13AF3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bCs/>
      <w:sz w:val="28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_3 Знак"/>
    <w:basedOn w:val="a0"/>
    <w:link w:val="3"/>
    <w:uiPriority w:val="9"/>
    <w:rsid w:val="00A13AF3"/>
    <w:rPr>
      <w:rFonts w:ascii="Arial" w:eastAsia="Times New Roman" w:hAnsi="Arial" w:cs="Times New Roman"/>
      <w:b/>
      <w:bCs/>
      <w:sz w:val="28"/>
      <w:szCs w:val="26"/>
      <w:lang w:val="x-none" w:eastAsia="ru-RU"/>
    </w:rPr>
  </w:style>
  <w:style w:type="table" w:styleId="a3">
    <w:name w:val="Table Grid"/>
    <w:basedOn w:val="a1"/>
    <w:uiPriority w:val="59"/>
    <w:rsid w:val="00A13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-FN,Footnote Text Char Знак Знак,Footnote Text Char Знак,Table_Footnote_last Знак,Table_Footnote_last Знак Знак,Table_Footnote_last"/>
    <w:basedOn w:val="a"/>
    <w:link w:val="a5"/>
    <w:uiPriority w:val="99"/>
    <w:rsid w:val="00A13A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Table_Footnote_last Знак Знак1,Table_Footnote_last Знак Знак Знак,Table_Footnote_last Знак1"/>
    <w:basedOn w:val="a0"/>
    <w:link w:val="a4"/>
    <w:uiPriority w:val="99"/>
    <w:rsid w:val="00A13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aliases w:val="Знак сноски-FN"/>
    <w:uiPriority w:val="99"/>
    <w:semiHidden/>
    <w:rsid w:val="00A13A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F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2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2F3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112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7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hart" Target="charts/chart5.xm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Лист1!$E$1:$W$1</c:f>
              <c:strCache>
                <c:ptCount val="19"/>
                <c:pt idx="0">
                  <c:v>1996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2000 г.</c:v>
                </c:pt>
                <c:pt idx="5">
                  <c:v>2001 г.</c:v>
                </c:pt>
                <c:pt idx="6">
                  <c:v>2002 г.</c:v>
                </c:pt>
                <c:pt idx="7">
                  <c:v>2003 г.</c:v>
                </c:pt>
                <c:pt idx="8">
                  <c:v>2004 г.</c:v>
                </c:pt>
                <c:pt idx="9">
                  <c:v>2005 г.</c:v>
                </c:pt>
                <c:pt idx="10">
                  <c:v>2006 г.</c:v>
                </c:pt>
                <c:pt idx="11">
                  <c:v>2007 г.</c:v>
                </c:pt>
                <c:pt idx="12">
                  <c:v>2008 г.</c:v>
                </c:pt>
                <c:pt idx="13">
                  <c:v>2009 г.</c:v>
                </c:pt>
                <c:pt idx="14">
                  <c:v>2010 г.</c:v>
                </c:pt>
                <c:pt idx="15">
                  <c:v>2011 г.</c:v>
                </c:pt>
                <c:pt idx="16">
                  <c:v>2012 г.</c:v>
                </c:pt>
                <c:pt idx="17">
                  <c:v>2013 г.</c:v>
                </c:pt>
                <c:pt idx="18">
                  <c:v>2014 г.</c:v>
                </c:pt>
              </c:strCache>
            </c:strRef>
          </c:cat>
          <c:val>
            <c:numRef>
              <c:f>Лист1!$E$17:$W$17</c:f>
              <c:numCache>
                <c:formatCode>0.0</c:formatCode>
                <c:ptCount val="19"/>
                <c:pt idx="0">
                  <c:v>-18.711712884267243</c:v>
                </c:pt>
                <c:pt idx="1">
                  <c:v>7.4471678694905634</c:v>
                </c:pt>
                <c:pt idx="2">
                  <c:v>-34.966180822621098</c:v>
                </c:pt>
                <c:pt idx="3">
                  <c:v>41.506083193984807</c:v>
                </c:pt>
                <c:pt idx="4">
                  <c:v>54.13002003228344</c:v>
                </c:pt>
                <c:pt idx="5">
                  <c:v>25.647682042382691</c:v>
                </c:pt>
                <c:pt idx="6">
                  <c:v>25.266432061112859</c:v>
                </c:pt>
                <c:pt idx="7">
                  <c:v>36.925755587340312</c:v>
                </c:pt>
                <c:pt idx="8">
                  <c:v>36.417324809016769</c:v>
                </c:pt>
                <c:pt idx="9">
                  <c:v>33.758773968510312</c:v>
                </c:pt>
                <c:pt idx="10">
                  <c:v>40.742785245589772</c:v>
                </c:pt>
                <c:pt idx="11">
                  <c:v>37.455782732211588</c:v>
                </c:pt>
                <c:pt idx="12">
                  <c:v>22.369626667314581</c:v>
                </c:pt>
                <c:pt idx="13">
                  <c:v>-38.577665970701936</c:v>
                </c:pt>
                <c:pt idx="14">
                  <c:v>19.928697488966403</c:v>
                </c:pt>
                <c:pt idx="15">
                  <c:v>19.153888732339261</c:v>
                </c:pt>
                <c:pt idx="16">
                  <c:v>15.013263018923745</c:v>
                </c:pt>
                <c:pt idx="17">
                  <c:v>6.0561838677655739</c:v>
                </c:pt>
                <c:pt idx="18">
                  <c:v>3.0900578904669023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A4-4CEE-8725-24458C51C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83571456"/>
        <c:axId val="83572992"/>
      </c:barChart>
      <c:catAx>
        <c:axId val="8357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572992"/>
        <c:crosses val="autoZero"/>
        <c:auto val="1"/>
        <c:lblAlgn val="ctr"/>
        <c:lblOffset val="100"/>
        <c:noMultiLvlLbl val="0"/>
      </c:catAx>
      <c:valAx>
        <c:axId val="835729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835714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1">
                <a:lumMod val="75000"/>
              </a:schemeClr>
            </a:solidFill>
            <a:ln w="127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Лист1!$E$1:$W$1</c:f>
              <c:strCache>
                <c:ptCount val="19"/>
                <c:pt idx="0">
                  <c:v>1996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2000 г.</c:v>
                </c:pt>
                <c:pt idx="5">
                  <c:v>2001 г.</c:v>
                </c:pt>
                <c:pt idx="6">
                  <c:v>2002 г.</c:v>
                </c:pt>
                <c:pt idx="7">
                  <c:v>2003 г.</c:v>
                </c:pt>
                <c:pt idx="8">
                  <c:v>2004 г.</c:v>
                </c:pt>
                <c:pt idx="9">
                  <c:v>2005 г.</c:v>
                </c:pt>
                <c:pt idx="10">
                  <c:v>2006 г.</c:v>
                </c:pt>
                <c:pt idx="11">
                  <c:v>2007 г.</c:v>
                </c:pt>
                <c:pt idx="12">
                  <c:v>2008 г.</c:v>
                </c:pt>
                <c:pt idx="13">
                  <c:v>2009 г.</c:v>
                </c:pt>
                <c:pt idx="14">
                  <c:v>2010 г.</c:v>
                </c:pt>
                <c:pt idx="15">
                  <c:v>2011 г.</c:v>
                </c:pt>
                <c:pt idx="16">
                  <c:v>2012 г.</c:v>
                </c:pt>
                <c:pt idx="17">
                  <c:v>2013 г.</c:v>
                </c:pt>
                <c:pt idx="18">
                  <c:v>2014 г.</c:v>
                </c:pt>
              </c:strCache>
            </c:strRef>
          </c:cat>
          <c:val>
            <c:numRef>
              <c:f>Лист1!$E$6:$W$6</c:f>
              <c:numCache>
                <c:formatCode>0</c:formatCode>
                <c:ptCount val="19"/>
                <c:pt idx="0">
                  <c:v>145.81321413447134</c:v>
                </c:pt>
                <c:pt idx="1">
                  <c:v>115.07980649585134</c:v>
                </c:pt>
                <c:pt idx="2">
                  <c:v>118.59519984363014</c:v>
                </c:pt>
                <c:pt idx="3">
                  <c:v>172.46573016962017</c:v>
                </c:pt>
                <c:pt idx="4">
                  <c:v>137.6408818516382</c:v>
                </c:pt>
                <c:pt idx="5">
                  <c:v>116.48951934759999</c:v>
                </c:pt>
                <c:pt idx="6">
                  <c:v>115.61392620376863</c:v>
                </c:pt>
                <c:pt idx="7">
                  <c:v>113.780061468852</c:v>
                </c:pt>
                <c:pt idx="8">
                  <c:v>120.28207692821789</c:v>
                </c:pt>
                <c:pt idx="9">
                  <c:v>119.30609483586849</c:v>
                </c:pt>
                <c:pt idx="10">
                  <c:v>115.17004710509624</c:v>
                </c:pt>
                <c:pt idx="11">
                  <c:v>113.80442067974063</c:v>
                </c:pt>
                <c:pt idx="12">
                  <c:v>117.95971403731893</c:v>
                </c:pt>
                <c:pt idx="13">
                  <c:v>101.99372282320176</c:v>
                </c:pt>
                <c:pt idx="14">
                  <c:v>114.18703858135449</c:v>
                </c:pt>
                <c:pt idx="15">
                  <c:v>115.91444760020681</c:v>
                </c:pt>
                <c:pt idx="16">
                  <c:v>107.43569883947914</c:v>
                </c:pt>
                <c:pt idx="17">
                  <c:v>105.04674830548399</c:v>
                </c:pt>
                <c:pt idx="18">
                  <c:v>107.19418860580544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D0-47C1-B288-2C3C5BBD4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2273280"/>
        <c:axId val="74580352"/>
      </c:barChart>
      <c:catAx>
        <c:axId val="9227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4580352"/>
        <c:crosses val="autoZero"/>
        <c:auto val="1"/>
        <c:lblAlgn val="ctr"/>
        <c:lblOffset val="100"/>
        <c:noMultiLvlLbl val="0"/>
      </c:catAx>
      <c:valAx>
        <c:axId val="74580352"/>
        <c:scaling>
          <c:orientation val="minMax"/>
          <c:min val="100"/>
        </c:scaling>
        <c:delete val="0"/>
        <c:axPos val="l"/>
        <c:numFmt formatCode="0" sourceLinked="1"/>
        <c:majorTickMark val="out"/>
        <c:minorTickMark val="none"/>
        <c:tickLblPos val="nextTo"/>
        <c:crossAx val="9227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1">
                <a:lumMod val="75000"/>
              </a:schemeClr>
            </a:solidFill>
            <a:ln w="127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Лист1!$E$1:$W$1</c:f>
              <c:strCache>
                <c:ptCount val="19"/>
                <c:pt idx="0">
                  <c:v>1996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2000 г.</c:v>
                </c:pt>
                <c:pt idx="5">
                  <c:v>2001 г.</c:v>
                </c:pt>
                <c:pt idx="6">
                  <c:v>2002 г.</c:v>
                </c:pt>
                <c:pt idx="7">
                  <c:v>2003 г.</c:v>
                </c:pt>
                <c:pt idx="8">
                  <c:v>2004 г.</c:v>
                </c:pt>
                <c:pt idx="9">
                  <c:v>2005 г.</c:v>
                </c:pt>
                <c:pt idx="10">
                  <c:v>2006 г.</c:v>
                </c:pt>
                <c:pt idx="11">
                  <c:v>2007 г.</c:v>
                </c:pt>
                <c:pt idx="12">
                  <c:v>2008 г.</c:v>
                </c:pt>
                <c:pt idx="13">
                  <c:v>2009 г.</c:v>
                </c:pt>
                <c:pt idx="14">
                  <c:v>2010 г.</c:v>
                </c:pt>
                <c:pt idx="15">
                  <c:v>2011 г.</c:v>
                </c:pt>
                <c:pt idx="16">
                  <c:v>2012 г.</c:v>
                </c:pt>
                <c:pt idx="17">
                  <c:v>2013 г.</c:v>
                </c:pt>
                <c:pt idx="18">
                  <c:v>2014 г.</c:v>
                </c:pt>
              </c:strCache>
            </c:strRef>
          </c:cat>
          <c:val>
            <c:numRef>
              <c:f>Лист1!$E$16:$W$16</c:f>
              <c:numCache>
                <c:formatCode>0.0</c:formatCode>
                <c:ptCount val="19"/>
                <c:pt idx="0">
                  <c:v>20.00243447499486</c:v>
                </c:pt>
                <c:pt idx="1">
                  <c:v>18.293256731870116</c:v>
                </c:pt>
                <c:pt idx="2">
                  <c:v>16.148949868479246</c:v>
                </c:pt>
                <c:pt idx="3">
                  <c:v>14.387827170299758</c:v>
                </c:pt>
                <c:pt idx="4">
                  <c:v>16.864258813077225</c:v>
                </c:pt>
                <c:pt idx="5">
                  <c:v>18.888571988781585</c:v>
                </c:pt>
                <c:pt idx="6">
                  <c:v>17.924728217044041</c:v>
                </c:pt>
                <c:pt idx="7">
                  <c:v>18.414664949374231</c:v>
                </c:pt>
                <c:pt idx="8">
                  <c:v>18.385437846943976</c:v>
                </c:pt>
                <c:pt idx="9">
                  <c:v>17.755379622236067</c:v>
                </c:pt>
                <c:pt idx="10">
                  <c:v>18.503310303276923</c:v>
                </c:pt>
                <c:pt idx="11">
                  <c:v>20.995131449410177</c:v>
                </c:pt>
                <c:pt idx="12">
                  <c:v>22.290385774625417</c:v>
                </c:pt>
                <c:pt idx="13">
                  <c:v>21.995061248733762</c:v>
                </c:pt>
                <c:pt idx="14">
                  <c:v>21.625254954047222</c:v>
                </c:pt>
                <c:pt idx="15">
                  <c:v>21.352223226468674</c:v>
                </c:pt>
                <c:pt idx="16">
                  <c:v>21.936529712715394</c:v>
                </c:pt>
                <c:pt idx="17">
                  <c:v>21.846398861108575</c:v>
                </c:pt>
                <c:pt idx="18">
                  <c:v>20.595395741506593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67-44BA-BCC3-3ACDF925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74641792"/>
        <c:axId val="74643328"/>
      </c:barChart>
      <c:catAx>
        <c:axId val="7464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4643328"/>
        <c:crosses val="autoZero"/>
        <c:auto val="1"/>
        <c:lblAlgn val="ctr"/>
        <c:lblOffset val="100"/>
        <c:noMultiLvlLbl val="0"/>
      </c:catAx>
      <c:valAx>
        <c:axId val="74643328"/>
        <c:scaling>
          <c:orientation val="minMax"/>
          <c:min val="12"/>
        </c:scaling>
        <c:delete val="0"/>
        <c:axPos val="l"/>
        <c:numFmt formatCode="0.0" sourceLinked="1"/>
        <c:majorTickMark val="out"/>
        <c:minorTickMark val="none"/>
        <c:tickLblPos val="nextTo"/>
        <c:crossAx val="746417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29-426D-9AD5-D02F7FF6E07D}"/>
                </c:ext>
              </c:extLst>
            </c:dLbl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29-426D-9AD5-D02F7FF6E07D}"/>
                </c:ext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29-426D-9AD5-D02F7FF6E07D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29-426D-9AD5-D02F7FF6E07D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29-426D-9AD5-D02F7FF6E07D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Лист1!$E$1:$W$1</c:f>
              <c:strCache>
                <c:ptCount val="19"/>
                <c:pt idx="0">
                  <c:v>1996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2000 г.</c:v>
                </c:pt>
                <c:pt idx="5">
                  <c:v>2001 г.</c:v>
                </c:pt>
                <c:pt idx="6">
                  <c:v>2002 г.</c:v>
                </c:pt>
                <c:pt idx="7">
                  <c:v>2003 г.</c:v>
                </c:pt>
                <c:pt idx="8">
                  <c:v>2004 г.</c:v>
                </c:pt>
                <c:pt idx="9">
                  <c:v>2005 г.</c:v>
                </c:pt>
                <c:pt idx="10">
                  <c:v>2006 г.</c:v>
                </c:pt>
                <c:pt idx="11">
                  <c:v>2007 г.</c:v>
                </c:pt>
                <c:pt idx="12">
                  <c:v>2008 г.</c:v>
                </c:pt>
                <c:pt idx="13">
                  <c:v>2009 г.</c:v>
                </c:pt>
                <c:pt idx="14">
                  <c:v>2010 г.</c:v>
                </c:pt>
                <c:pt idx="15">
                  <c:v>2011 г.</c:v>
                </c:pt>
                <c:pt idx="16">
                  <c:v>2012 г.</c:v>
                </c:pt>
                <c:pt idx="17">
                  <c:v>2013 г.</c:v>
                </c:pt>
                <c:pt idx="18">
                  <c:v>2014 г.</c:v>
                </c:pt>
              </c:strCache>
            </c:strRef>
          </c:cat>
          <c:val>
            <c:numRef>
              <c:f>Лист1!$E$15:$W$15</c:f>
              <c:numCache>
                <c:formatCode>0.0</c:formatCode>
                <c:ptCount val="19"/>
                <c:pt idx="0">
                  <c:v>-3.7427981088247257</c:v>
                </c:pt>
                <c:pt idx="1">
                  <c:v>1.3623295376192508</c:v>
                </c:pt>
                <c:pt idx="2">
                  <c:v>-5.6466710119668848</c:v>
                </c:pt>
                <c:pt idx="3">
                  <c:v>5.9718235151113674</c:v>
                </c:pt>
                <c:pt idx="4">
                  <c:v>9.1286266738148285</c:v>
                </c:pt>
                <c:pt idx="5">
                  <c:v>4.8444808860292623</c:v>
                </c:pt>
                <c:pt idx="6">
                  <c:v>4.5289392770985595</c:v>
                </c:pt>
                <c:pt idx="7">
                  <c:v>6.7997541714335537</c:v>
                </c:pt>
                <c:pt idx="8">
                  <c:v>6.6954846182814869</c:v>
                </c:pt>
                <c:pt idx="9">
                  <c:v>5.9939984739216143</c:v>
                </c:pt>
                <c:pt idx="10">
                  <c:v>7.5387639801892021</c:v>
                </c:pt>
                <c:pt idx="11">
                  <c:v>7.8638908200333013</c:v>
                </c:pt>
                <c:pt idx="12">
                  <c:v>4.9862760804879027</c:v>
                </c:pt>
                <c:pt idx="13">
                  <c:v>-8.4851812585878132</c:v>
                </c:pt>
                <c:pt idx="14">
                  <c:v>4.3096316410097915</c:v>
                </c:pt>
                <c:pt idx="15">
                  <c:v>4.0897810786785103</c:v>
                </c:pt>
                <c:pt idx="16">
                  <c:v>3.2933889029943204</c:v>
                </c:pt>
                <c:pt idx="17">
                  <c:v>1.3230580835141794</c:v>
                </c:pt>
                <c:pt idx="18">
                  <c:v>0.63640965118330872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B29-426D-9AD5-D02F7FF6E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010240"/>
        <c:axId val="96011776"/>
      </c:lineChart>
      <c:catAx>
        <c:axId val="9601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6011776"/>
        <c:crosses val="autoZero"/>
        <c:auto val="1"/>
        <c:lblAlgn val="ctr"/>
        <c:lblOffset val="100"/>
        <c:noMultiLvlLbl val="0"/>
      </c:catAx>
      <c:valAx>
        <c:axId val="9601177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96010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dLbls>
            <c:dLbl>
              <c:idx val="11"/>
              <c:layout>
                <c:manualLayout>
                  <c:x val="0"/>
                  <c:y val="0.111609474923255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C-42B9-95CC-EF1E9E4DB80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Лист1!$F$67:$W$67</c:f>
              <c:strCache>
                <c:ptCount val="18"/>
                <c:pt idx="0">
                  <c:v>1997 г.</c:v>
                </c:pt>
                <c:pt idx="1">
                  <c:v>1998 г.</c:v>
                </c:pt>
                <c:pt idx="2">
                  <c:v>1999 г.</c:v>
                </c:pt>
                <c:pt idx="3">
                  <c:v>2000 г.</c:v>
                </c:pt>
                <c:pt idx="4">
                  <c:v>2001 г.</c:v>
                </c:pt>
                <c:pt idx="5">
                  <c:v>2002 г.</c:v>
                </c:pt>
                <c:pt idx="6">
                  <c:v>2003 г.</c:v>
                </c:pt>
                <c:pt idx="7">
                  <c:v>2004 г.</c:v>
                </c:pt>
                <c:pt idx="8">
                  <c:v>2005 г.</c:v>
                </c:pt>
                <c:pt idx="9">
                  <c:v>2006 г.</c:v>
                </c:pt>
                <c:pt idx="10">
                  <c:v>2007 г.</c:v>
                </c:pt>
                <c:pt idx="11">
                  <c:v>2008 г.</c:v>
                </c:pt>
                <c:pt idx="12">
                  <c:v>2009 г.</c:v>
                </c:pt>
                <c:pt idx="13">
                  <c:v>2010 г.</c:v>
                </c:pt>
                <c:pt idx="14">
                  <c:v>2011 г.</c:v>
                </c:pt>
                <c:pt idx="15">
                  <c:v>2012 г.</c:v>
                </c:pt>
                <c:pt idx="16">
                  <c:v>2013 г.</c:v>
                </c:pt>
                <c:pt idx="17">
                  <c:v>2014 г.</c:v>
                </c:pt>
              </c:strCache>
            </c:strRef>
          </c:cat>
          <c:val>
            <c:numRef>
              <c:f>Лист1!$F$79:$W$79</c:f>
              <c:numCache>
                <c:formatCode>0.0</c:formatCode>
                <c:ptCount val="18"/>
                <c:pt idx="0">
                  <c:v>12.007747391091186</c:v>
                </c:pt>
                <c:pt idx="1">
                  <c:v>11.786334007323337</c:v>
                </c:pt>
                <c:pt idx="2">
                  <c:v>12.180976772709828</c:v>
                </c:pt>
                <c:pt idx="3">
                  <c:v>10.602980392035491</c:v>
                </c:pt>
                <c:pt idx="4">
                  <c:v>2.6135145493860845</c:v>
                </c:pt>
                <c:pt idx="5">
                  <c:v>4.8157447552848316</c:v>
                </c:pt>
                <c:pt idx="6">
                  <c:v>7.4297145278132044</c:v>
                </c:pt>
                <c:pt idx="7">
                  <c:v>9.7968659182098854</c:v>
                </c:pt>
                <c:pt idx="8">
                  <c:v>8.5420074247951536</c:v>
                </c:pt>
                <c:pt idx="9">
                  <c:v>6.8478272171540535</c:v>
                </c:pt>
                <c:pt idx="10">
                  <c:v>4.6750866440818939</c:v>
                </c:pt>
                <c:pt idx="11">
                  <c:v>-0.78706122950388202</c:v>
                </c:pt>
                <c:pt idx="12">
                  <c:v>-8.049248551300126</c:v>
                </c:pt>
                <c:pt idx="13">
                  <c:v>7.0887660827276724</c:v>
                </c:pt>
                <c:pt idx="14">
                  <c:v>4.558353073705244</c:v>
                </c:pt>
                <c:pt idx="15">
                  <c:v>6.2657831806308382</c:v>
                </c:pt>
                <c:pt idx="16">
                  <c:v>4.2846943950307503</c:v>
                </c:pt>
                <c:pt idx="17">
                  <c:v>6.9295123143356836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9C-42B9-95CC-EF1E9E4DB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6606080"/>
        <c:axId val="96607616"/>
      </c:barChart>
      <c:catAx>
        <c:axId val="9660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6607616"/>
        <c:crosses val="autoZero"/>
        <c:auto val="1"/>
        <c:lblAlgn val="ctr"/>
        <c:lblOffset val="100"/>
        <c:noMultiLvlLbl val="0"/>
      </c:catAx>
      <c:valAx>
        <c:axId val="966076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96606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Лист1!$F$67:$W$67</c:f>
              <c:strCache>
                <c:ptCount val="18"/>
                <c:pt idx="0">
                  <c:v>1997 г.</c:v>
                </c:pt>
                <c:pt idx="1">
                  <c:v>1998 г.</c:v>
                </c:pt>
                <c:pt idx="2">
                  <c:v>1999 г.</c:v>
                </c:pt>
                <c:pt idx="3">
                  <c:v>2000 г.</c:v>
                </c:pt>
                <c:pt idx="4">
                  <c:v>2001 г.</c:v>
                </c:pt>
                <c:pt idx="5">
                  <c:v>2002 г.</c:v>
                </c:pt>
                <c:pt idx="6">
                  <c:v>2003 г.</c:v>
                </c:pt>
                <c:pt idx="7">
                  <c:v>2004 г.</c:v>
                </c:pt>
                <c:pt idx="8">
                  <c:v>2005 г.</c:v>
                </c:pt>
                <c:pt idx="9">
                  <c:v>2006 г.</c:v>
                </c:pt>
                <c:pt idx="10">
                  <c:v>2007 г.</c:v>
                </c:pt>
                <c:pt idx="11">
                  <c:v>2008 г.</c:v>
                </c:pt>
                <c:pt idx="12">
                  <c:v>2009 г.</c:v>
                </c:pt>
                <c:pt idx="13">
                  <c:v>2010 г.</c:v>
                </c:pt>
                <c:pt idx="14">
                  <c:v>2011 г.</c:v>
                </c:pt>
                <c:pt idx="15">
                  <c:v>2012 г.</c:v>
                </c:pt>
                <c:pt idx="16">
                  <c:v>2013 г.</c:v>
                </c:pt>
                <c:pt idx="17">
                  <c:v>2014 г.</c:v>
                </c:pt>
              </c:strCache>
            </c:strRef>
          </c:cat>
          <c:val>
            <c:numRef>
              <c:f>Лист1!$F$82:$W$82</c:f>
              <c:numCache>
                <c:formatCode>0.0</c:formatCode>
                <c:ptCount val="18"/>
                <c:pt idx="0">
                  <c:v>101.12818267286565</c:v>
                </c:pt>
                <c:pt idx="1">
                  <c:v>101.40213695350407</c:v>
                </c:pt>
                <c:pt idx="2">
                  <c:v>101.93283432131015</c:v>
                </c:pt>
                <c:pt idx="3">
                  <c:v>102.40134051230241</c:v>
                </c:pt>
                <c:pt idx="4">
                  <c:v>101.66642602752913</c:v>
                </c:pt>
                <c:pt idx="5">
                  <c:v>101.99060321668225</c:v>
                </c:pt>
                <c:pt idx="6">
                  <c:v>102.2383643346987</c:v>
                </c:pt>
                <c:pt idx="7">
                  <c:v>103.14954374177145</c:v>
                </c:pt>
                <c:pt idx="8">
                  <c:v>103.24483126657351</c:v>
                </c:pt>
                <c:pt idx="9">
                  <c:v>103.00750277090971</c:v>
                </c:pt>
                <c:pt idx="10">
                  <c:v>101.92645932915347</c:v>
                </c:pt>
                <c:pt idx="11">
                  <c:v>101.56928823744367</c:v>
                </c:pt>
                <c:pt idx="12">
                  <c:v>100.45971497671444</c:v>
                </c:pt>
                <c:pt idx="13">
                  <c:v>101.86725293965499</c:v>
                </c:pt>
                <c:pt idx="14">
                  <c:v>102.01857440014062</c:v>
                </c:pt>
                <c:pt idx="15">
                  <c:v>101.81590182451707</c:v>
                </c:pt>
                <c:pt idx="16">
                  <c:v>101.54753062625161</c:v>
                </c:pt>
                <c:pt idx="17">
                  <c:v>101.00917516132914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41-4EC8-B282-08C531C0B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6660864"/>
        <c:axId val="98374784"/>
      </c:barChart>
      <c:catAx>
        <c:axId val="9666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8374784"/>
        <c:crosses val="autoZero"/>
        <c:auto val="1"/>
        <c:lblAlgn val="ctr"/>
        <c:lblOffset val="100"/>
        <c:noMultiLvlLbl val="0"/>
      </c:catAx>
      <c:valAx>
        <c:axId val="98374784"/>
        <c:scaling>
          <c:orientation val="minMax"/>
          <c:min val="100"/>
        </c:scaling>
        <c:delete val="0"/>
        <c:axPos val="l"/>
        <c:numFmt formatCode="0.0" sourceLinked="1"/>
        <c:majorTickMark val="out"/>
        <c:minorTickMark val="none"/>
        <c:tickLblPos val="nextTo"/>
        <c:crossAx val="96660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Лист1!$F$67:$W$67</c:f>
              <c:strCache>
                <c:ptCount val="18"/>
                <c:pt idx="0">
                  <c:v>1997 г.</c:v>
                </c:pt>
                <c:pt idx="1">
                  <c:v>1998 г.</c:v>
                </c:pt>
                <c:pt idx="2">
                  <c:v>1999 г.</c:v>
                </c:pt>
                <c:pt idx="3">
                  <c:v>2000 г.</c:v>
                </c:pt>
                <c:pt idx="4">
                  <c:v>2001 г.</c:v>
                </c:pt>
                <c:pt idx="5">
                  <c:v>2002 г.</c:v>
                </c:pt>
                <c:pt idx="6">
                  <c:v>2003 г.</c:v>
                </c:pt>
                <c:pt idx="7">
                  <c:v>2004 г.</c:v>
                </c:pt>
                <c:pt idx="8">
                  <c:v>2005 г.</c:v>
                </c:pt>
                <c:pt idx="9">
                  <c:v>2006 г.</c:v>
                </c:pt>
                <c:pt idx="10">
                  <c:v>2007 г.</c:v>
                </c:pt>
                <c:pt idx="11">
                  <c:v>2008 г.</c:v>
                </c:pt>
                <c:pt idx="12">
                  <c:v>2009 г.</c:v>
                </c:pt>
                <c:pt idx="13">
                  <c:v>2010 г.</c:v>
                </c:pt>
                <c:pt idx="14">
                  <c:v>2011 г.</c:v>
                </c:pt>
                <c:pt idx="15">
                  <c:v>2012 г.</c:v>
                </c:pt>
                <c:pt idx="16">
                  <c:v>2013 г.</c:v>
                </c:pt>
                <c:pt idx="17">
                  <c:v>2014 г.</c:v>
                </c:pt>
              </c:strCache>
            </c:strRef>
          </c:cat>
          <c:val>
            <c:numRef>
              <c:f>Лист1!$F$78:$W$78</c:f>
              <c:numCache>
                <c:formatCode>0.0</c:formatCode>
                <c:ptCount val="18"/>
                <c:pt idx="0">
                  <c:v>35.764879308452151</c:v>
                </c:pt>
                <c:pt idx="1">
                  <c:v>36.143308166380024</c:v>
                </c:pt>
                <c:pt idx="2">
                  <c:v>36.741080416639711</c:v>
                </c:pt>
                <c:pt idx="3">
                  <c:v>37.080353119921497</c:v>
                </c:pt>
                <c:pt idx="4">
                  <c:v>36.958689957581676</c:v>
                </c:pt>
                <c:pt idx="5">
                  <c:v>36.451094482776334</c:v>
                </c:pt>
                <c:pt idx="6">
                  <c:v>36.744241364250854</c:v>
                </c:pt>
                <c:pt idx="7">
                  <c:v>37.232153215073851</c:v>
                </c:pt>
                <c:pt idx="8">
                  <c:v>37.890052236464072</c:v>
                </c:pt>
                <c:pt idx="9">
                  <c:v>37.93239379533091</c:v>
                </c:pt>
                <c:pt idx="10">
                  <c:v>37.376411090375676</c:v>
                </c:pt>
                <c:pt idx="11">
                  <c:v>37.095951226823345</c:v>
                </c:pt>
                <c:pt idx="12">
                  <c:v>35.473122857692339</c:v>
                </c:pt>
                <c:pt idx="13">
                  <c:v>34.838151922569693</c:v>
                </c:pt>
                <c:pt idx="14">
                  <c:v>34.584894565478308</c:v>
                </c:pt>
                <c:pt idx="15">
                  <c:v>34.716233200899644</c:v>
                </c:pt>
                <c:pt idx="16">
                  <c:v>34.252074636503522</c:v>
                </c:pt>
                <c:pt idx="17">
                  <c:v>34.211279167580074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8-458C-B352-DA5BE356B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8432128"/>
        <c:axId val="98433664"/>
      </c:barChart>
      <c:catAx>
        <c:axId val="9843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8433664"/>
        <c:crosses val="autoZero"/>
        <c:auto val="1"/>
        <c:lblAlgn val="ctr"/>
        <c:lblOffset val="100"/>
        <c:noMultiLvlLbl val="0"/>
      </c:catAx>
      <c:valAx>
        <c:axId val="9843366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9843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3F-4F00-A41D-B6324C88FB8E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3F-4F00-A41D-B6324C88FB8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Лист1!$F$67:$W$67</c:f>
              <c:strCache>
                <c:ptCount val="18"/>
                <c:pt idx="0">
                  <c:v>1997 г.</c:v>
                </c:pt>
                <c:pt idx="1">
                  <c:v>1998 г.</c:v>
                </c:pt>
                <c:pt idx="2">
                  <c:v>1999 г.</c:v>
                </c:pt>
                <c:pt idx="3">
                  <c:v>2000 г.</c:v>
                </c:pt>
                <c:pt idx="4">
                  <c:v>2001 г.</c:v>
                </c:pt>
                <c:pt idx="5">
                  <c:v>2002 г.</c:v>
                </c:pt>
                <c:pt idx="6">
                  <c:v>2003 г.</c:v>
                </c:pt>
                <c:pt idx="7">
                  <c:v>2004 г.</c:v>
                </c:pt>
                <c:pt idx="8">
                  <c:v>2005 г.</c:v>
                </c:pt>
                <c:pt idx="9">
                  <c:v>2006 г.</c:v>
                </c:pt>
                <c:pt idx="10">
                  <c:v>2007 г.</c:v>
                </c:pt>
                <c:pt idx="11">
                  <c:v>2008 г.</c:v>
                </c:pt>
                <c:pt idx="12">
                  <c:v>2009 г.</c:v>
                </c:pt>
                <c:pt idx="13">
                  <c:v>2010 г.</c:v>
                </c:pt>
                <c:pt idx="14">
                  <c:v>2011 г.</c:v>
                </c:pt>
                <c:pt idx="15">
                  <c:v>2012 г.</c:v>
                </c:pt>
                <c:pt idx="16">
                  <c:v>2013 г.</c:v>
                </c:pt>
                <c:pt idx="17">
                  <c:v>2014 г.</c:v>
                </c:pt>
              </c:strCache>
            </c:strRef>
          </c:cat>
          <c:val>
            <c:numRef>
              <c:f>Лист1!$F$77:$W$77</c:f>
              <c:numCache>
                <c:formatCode>0.0</c:formatCode>
                <c:ptCount val="18"/>
                <c:pt idx="0">
                  <c:v>4.2945563620875751</c:v>
                </c:pt>
                <c:pt idx="1">
                  <c:v>4.2599710217857218</c:v>
                </c:pt>
                <c:pt idx="2">
                  <c:v>4.4754224715935225</c:v>
                </c:pt>
                <c:pt idx="3">
                  <c:v>3.9316225706027965</c:v>
                </c:pt>
                <c:pt idx="4">
                  <c:v>0.96592073930389077</c:v>
                </c:pt>
                <c:pt idx="5">
                  <c:v>1.75539167079822</c:v>
                </c:pt>
                <c:pt idx="6">
                  <c:v>2.7299922387744942</c:v>
                </c:pt>
                <c:pt idx="7">
                  <c:v>3.6475841289432562</c:v>
                </c:pt>
                <c:pt idx="8">
                  <c:v>3.236571075297523</c:v>
                </c:pt>
                <c:pt idx="9">
                  <c:v>2.5975447864347259</c:v>
                </c:pt>
                <c:pt idx="10">
                  <c:v>1.7473796029232969</c:v>
                </c:pt>
                <c:pt idx="11">
                  <c:v>-0.29196784982199625</c:v>
                </c:pt>
                <c:pt idx="12">
                  <c:v>-2.8553198277237146</c:v>
                </c:pt>
                <c:pt idx="13">
                  <c:v>2.469595097336259</c:v>
                </c:pt>
                <c:pt idx="14">
                  <c:v>1.5765016044631983</c:v>
                </c:pt>
                <c:pt idx="15">
                  <c:v>2.1752439008505489</c:v>
                </c:pt>
                <c:pt idx="16">
                  <c:v>1.4675967221320156</c:v>
                </c:pt>
                <c:pt idx="17">
                  <c:v>2.3706748028092197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83F-4F00-A41D-B6324C88F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66048"/>
        <c:axId val="100471936"/>
      </c:lineChart>
      <c:catAx>
        <c:axId val="10046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0471936"/>
        <c:crosses val="autoZero"/>
        <c:auto val="1"/>
        <c:lblAlgn val="ctr"/>
        <c:lblOffset val="100"/>
        <c:noMultiLvlLbl val="0"/>
      </c:catAx>
      <c:valAx>
        <c:axId val="10047193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00466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Лист1!$B$136</c:f>
              <c:strCache>
                <c:ptCount val="1"/>
                <c:pt idx="0">
                  <c:v>Размер учетной ставки ЦБ РФ (с сентября 2013 г. - ключевой)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noFill/>
              <a:prstDash val="dash"/>
            </a:ln>
          </c:spPr>
          <c:dLbls>
            <c:dLbl>
              <c:idx val="0"/>
              <c:layout>
                <c:manualLayout>
                  <c:x val="2.1346198872281993E-3"/>
                  <c:y val="-0.26736109486724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AE-49DC-8ACD-D0244C1BFBD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AE-49DC-8ACD-D0244C1BFBD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AE-49DC-8ACD-D0244C1BFBD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AE-49DC-8ACD-D0244C1BFBD0}"/>
                </c:ext>
              </c:extLst>
            </c:dLbl>
            <c:dLbl>
              <c:idx val="4"/>
              <c:layout>
                <c:manualLayout>
                  <c:x val="0"/>
                  <c:y val="-0.18672838371680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AE-49DC-8ACD-D0244C1BFBD0}"/>
                </c:ext>
              </c:extLst>
            </c:dLbl>
            <c:dLbl>
              <c:idx val="5"/>
              <c:layout>
                <c:manualLayout>
                  <c:x val="0"/>
                  <c:y val="-0.2206789989380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AE-49DC-8ACD-D0244C1BFBD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AE-49DC-8ACD-D0244C1BFBD0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AE-49DC-8ACD-D0244C1BFBD0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AE-49DC-8ACD-D0244C1BFBD0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AE-49DC-8ACD-D0244C1BFBD0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AE-49DC-8ACD-D0244C1BFBD0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AE-49DC-8ACD-D0244C1BFBD0}"/>
                </c:ext>
              </c:extLst>
            </c:dLbl>
            <c:dLbl>
              <c:idx val="12"/>
              <c:layout>
                <c:manualLayout>
                  <c:x val="0"/>
                  <c:y val="-0.14429011469025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AE-49DC-8ACD-D0244C1BFBD0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AE-49DC-8ACD-D0244C1BFBD0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AE-49DC-8ACD-D0244C1BFBD0}"/>
                </c:ext>
              </c:extLst>
            </c:dLbl>
            <c:dLbl>
              <c:idx val="1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AE-49DC-8ACD-D0244C1BFBD0}"/>
                </c:ext>
              </c:extLst>
            </c:dLbl>
            <c:dLbl>
              <c:idx val="1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AE-49DC-8ACD-D0244C1BFBD0}"/>
                </c:ext>
              </c:extLst>
            </c:dLbl>
            <c:dLbl>
              <c:idx val="17"/>
              <c:layout>
                <c:manualLayout>
                  <c:x val="0"/>
                  <c:y val="-0.27584874867255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AE-49DC-8ACD-D0244C1BFBD0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AE-49DC-8ACD-D0244C1BFBD0}"/>
                </c:ext>
              </c:extLst>
            </c:dLbl>
            <c:dLbl>
              <c:idx val="19"/>
              <c:layout>
                <c:manualLayout>
                  <c:x val="-4.2692397744563985E-3"/>
                  <c:y val="-0.25462961415927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AE-49DC-8ACD-D0244C1BFB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Лист1!$C$135:$V$135</c:f>
              <c:strCache>
                <c:ptCount val="20"/>
                <c:pt idx="0">
                  <c:v>2003 г.</c:v>
                </c:pt>
                <c:pt idx="1">
                  <c:v>2004 г.</c:v>
                </c:pt>
                <c:pt idx="2">
                  <c:v>2005 г.</c:v>
                </c:pt>
                <c:pt idx="3">
                  <c:v>2006 г.</c:v>
                </c:pt>
                <c:pt idx="4">
                  <c:v>2007 г.</c:v>
                </c:pt>
                <c:pt idx="5">
                  <c:v>2008 г.</c:v>
                </c:pt>
                <c:pt idx="6">
                  <c:v>2009 г.</c:v>
                </c:pt>
                <c:pt idx="7">
                  <c:v>2010 г.</c:v>
                </c:pt>
                <c:pt idx="8">
                  <c:v>2011 г.</c:v>
                </c:pt>
                <c:pt idx="9">
                  <c:v>2012 г.</c:v>
                </c:pt>
                <c:pt idx="10">
                  <c:v>2013 г.</c:v>
                </c:pt>
                <c:pt idx="11">
                  <c:v>13.09.2013</c:v>
                </c:pt>
                <c:pt idx="12">
                  <c:v>03.03.2014</c:v>
                </c:pt>
                <c:pt idx="13">
                  <c:v>25.04.2014</c:v>
                </c:pt>
                <c:pt idx="14">
                  <c:v>25.07.2014</c:v>
                </c:pt>
                <c:pt idx="15">
                  <c:v>05.11.2014</c:v>
                </c:pt>
                <c:pt idx="16">
                  <c:v>12.12.2014</c:v>
                </c:pt>
                <c:pt idx="17">
                  <c:v>16.12.2014</c:v>
                </c:pt>
                <c:pt idx="18">
                  <c:v>30.01.2015</c:v>
                </c:pt>
                <c:pt idx="19">
                  <c:v>13.03.2015</c:v>
                </c:pt>
              </c:strCache>
            </c:strRef>
          </c:cat>
          <c:val>
            <c:numRef>
              <c:f>Лист1!$C$136:$V$136</c:f>
              <c:numCache>
                <c:formatCode>General</c:formatCode>
                <c:ptCount val="20"/>
                <c:pt idx="0">
                  <c:v>16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  <c:pt idx="5">
                  <c:v>13</c:v>
                </c:pt>
                <c:pt idx="6">
                  <c:v>8.75</c:v>
                </c:pt>
                <c:pt idx="7">
                  <c:v>7.75</c:v>
                </c:pt>
                <c:pt idx="8">
                  <c:v>8</c:v>
                </c:pt>
                <c:pt idx="9">
                  <c:v>8.25</c:v>
                </c:pt>
                <c:pt idx="10">
                  <c:v>8.25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9.5</c:v>
                </c:pt>
                <c:pt idx="16">
                  <c:v>10.5</c:v>
                </c:pt>
                <c:pt idx="17">
                  <c:v>17</c:v>
                </c:pt>
                <c:pt idx="18">
                  <c:v>15</c:v>
                </c:pt>
                <c:pt idx="19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0AE-49DC-8ACD-D0244C1BF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13024"/>
        <c:axId val="37714560"/>
      </c:areaChart>
      <c:lineChart>
        <c:grouping val="standard"/>
        <c:varyColors val="0"/>
        <c:ser>
          <c:idx val="1"/>
          <c:order val="1"/>
          <c:tx>
            <c:strRef>
              <c:f>Лист1!$B$137</c:f>
              <c:strCache>
                <c:ptCount val="1"/>
                <c:pt idx="0">
                  <c:v>Средняя рентабельность обрабатывающих производств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AE-49DC-8ACD-D0244C1BFBD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AE-49DC-8ACD-D0244C1BFBD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AE-49DC-8ACD-D0244C1BFBD0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AE-49DC-8ACD-D0244C1BFBD0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0AE-49DC-8ACD-D0244C1BFBD0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0AE-49DC-8ACD-D0244C1BFBD0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0AE-49DC-8ACD-D0244C1BFBD0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0AE-49DC-8ACD-D0244C1BFBD0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0AE-49DC-8ACD-D0244C1BFBD0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0AE-49DC-8ACD-D0244C1BFBD0}"/>
                </c:ext>
              </c:extLst>
            </c:dLbl>
            <c:dLbl>
              <c:idx val="1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0AE-49DC-8ACD-D0244C1BFBD0}"/>
                </c:ext>
              </c:extLst>
            </c:dLbl>
            <c:dLbl>
              <c:idx val="1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0AE-49DC-8ACD-D0244C1BFBD0}"/>
                </c:ext>
              </c:extLst>
            </c:dLbl>
            <c:dLbl>
              <c:idx val="1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0AE-49DC-8ACD-D0244C1BFBD0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0AE-49DC-8ACD-D0244C1BFBD0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Лист1!$C$135:$V$135</c:f>
              <c:strCache>
                <c:ptCount val="20"/>
                <c:pt idx="0">
                  <c:v>2003 г.</c:v>
                </c:pt>
                <c:pt idx="1">
                  <c:v>2004 г.</c:v>
                </c:pt>
                <c:pt idx="2">
                  <c:v>2005 г.</c:v>
                </c:pt>
                <c:pt idx="3">
                  <c:v>2006 г.</c:v>
                </c:pt>
                <c:pt idx="4">
                  <c:v>2007 г.</c:v>
                </c:pt>
                <c:pt idx="5">
                  <c:v>2008 г.</c:v>
                </c:pt>
                <c:pt idx="6">
                  <c:v>2009 г.</c:v>
                </c:pt>
                <c:pt idx="7">
                  <c:v>2010 г.</c:v>
                </c:pt>
                <c:pt idx="8">
                  <c:v>2011 г.</c:v>
                </c:pt>
                <c:pt idx="9">
                  <c:v>2012 г.</c:v>
                </c:pt>
                <c:pt idx="10">
                  <c:v>2013 г.</c:v>
                </c:pt>
                <c:pt idx="11">
                  <c:v>13.09.2013</c:v>
                </c:pt>
                <c:pt idx="12">
                  <c:v>03.03.2014</c:v>
                </c:pt>
                <c:pt idx="13">
                  <c:v>25.04.2014</c:v>
                </c:pt>
                <c:pt idx="14">
                  <c:v>25.07.2014</c:v>
                </c:pt>
                <c:pt idx="15">
                  <c:v>05.11.2014</c:v>
                </c:pt>
                <c:pt idx="16">
                  <c:v>12.12.2014</c:v>
                </c:pt>
                <c:pt idx="17">
                  <c:v>16.12.2014</c:v>
                </c:pt>
                <c:pt idx="18">
                  <c:v>30.01.2015</c:v>
                </c:pt>
                <c:pt idx="19">
                  <c:v>13.03.2015</c:v>
                </c:pt>
              </c:strCache>
            </c:strRef>
          </c:cat>
          <c:val>
            <c:numRef>
              <c:f>Лист1!$C$137:$V$137</c:f>
              <c:numCache>
                <c:formatCode>0.00</c:formatCode>
                <c:ptCount val="20"/>
                <c:pt idx="0">
                  <c:v>6.47</c:v>
                </c:pt>
                <c:pt idx="1">
                  <c:v>6.34</c:v>
                </c:pt>
                <c:pt idx="2">
                  <c:v>7.09</c:v>
                </c:pt>
                <c:pt idx="3">
                  <c:v>7.43</c:v>
                </c:pt>
                <c:pt idx="4">
                  <c:v>8.64</c:v>
                </c:pt>
                <c:pt idx="5">
                  <c:v>6.86</c:v>
                </c:pt>
                <c:pt idx="6">
                  <c:v>6.86</c:v>
                </c:pt>
                <c:pt idx="7">
                  <c:v>7.18</c:v>
                </c:pt>
                <c:pt idx="8">
                  <c:v>8.06</c:v>
                </c:pt>
                <c:pt idx="9">
                  <c:v>7.08</c:v>
                </c:pt>
                <c:pt idx="10">
                  <c:v>7.93</c:v>
                </c:pt>
                <c:pt idx="11">
                  <c:v>6.7</c:v>
                </c:pt>
                <c:pt idx="12">
                  <c:v>6.5</c:v>
                </c:pt>
                <c:pt idx="13">
                  <c:v>6.5</c:v>
                </c:pt>
                <c:pt idx="14">
                  <c:v>6.5</c:v>
                </c:pt>
                <c:pt idx="15">
                  <c:v>6.5</c:v>
                </c:pt>
                <c:pt idx="16">
                  <c:v>6.5</c:v>
                </c:pt>
                <c:pt idx="17">
                  <c:v>6.5</c:v>
                </c:pt>
                <c:pt idx="18">
                  <c:v>6.5</c:v>
                </c:pt>
                <c:pt idx="19">
                  <c:v>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3-00AE-49DC-8ACD-D0244C1BF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13024"/>
        <c:axId val="37714560"/>
      </c:lineChart>
      <c:catAx>
        <c:axId val="3771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7714560"/>
        <c:crosses val="autoZero"/>
        <c:auto val="1"/>
        <c:lblAlgn val="ctr"/>
        <c:lblOffset val="100"/>
        <c:noMultiLvlLbl val="0"/>
      </c:catAx>
      <c:valAx>
        <c:axId val="37714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7713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193C-215F-4F36-81A8-13C8EC2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Лукин</dc:creator>
  <cp:lastModifiedBy>Екатерина Г. Леонидова</cp:lastModifiedBy>
  <cp:revision>2</cp:revision>
  <cp:lastPrinted>2016-01-20T06:26:00Z</cp:lastPrinted>
  <dcterms:created xsi:type="dcterms:W3CDTF">2016-04-26T05:24:00Z</dcterms:created>
  <dcterms:modified xsi:type="dcterms:W3CDTF">2016-04-26T05:24:00Z</dcterms:modified>
</cp:coreProperties>
</file>