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2" w:rsidRDefault="00BE1D32" w:rsidP="00BE1D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Лукин Е.В.</w:t>
      </w:r>
    </w:p>
    <w:p w:rsidR="00FB71F7" w:rsidRPr="00BE1D32" w:rsidRDefault="00A452C6" w:rsidP="00BE1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Межрегиональное т</w:t>
      </w:r>
      <w:r w:rsidR="00BE1D32" w:rsidRPr="00BE1D32">
        <w:rPr>
          <w:rFonts w:ascii="Times New Roman" w:hAnsi="Times New Roman" w:cs="Times New Roman"/>
          <w:b/>
          <w:sz w:val="28"/>
          <w:szCs w:val="28"/>
        </w:rPr>
        <w:t>оргово-экономическое сотрудничество</w:t>
      </w:r>
      <w:r w:rsidR="00FD2508">
        <w:rPr>
          <w:rFonts w:ascii="Times New Roman" w:hAnsi="Times New Roman" w:cs="Times New Roman"/>
          <w:b/>
          <w:sz w:val="28"/>
          <w:szCs w:val="28"/>
        </w:rPr>
        <w:br/>
        <w:t>в рамках ЕАЭС как инструмент повышения</w:t>
      </w:r>
      <w:r w:rsidR="00FD2508">
        <w:rPr>
          <w:rFonts w:ascii="Times New Roman" w:hAnsi="Times New Roman" w:cs="Times New Roman"/>
          <w:b/>
          <w:sz w:val="28"/>
          <w:szCs w:val="28"/>
        </w:rPr>
        <w:br/>
        <w:t>экономической безопасности</w:t>
      </w:r>
      <w:r w:rsidR="002B54AA" w:rsidRPr="002B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27">
        <w:rPr>
          <w:rFonts w:ascii="Times New Roman" w:hAnsi="Times New Roman" w:cs="Times New Roman"/>
          <w:b/>
          <w:sz w:val="28"/>
          <w:szCs w:val="28"/>
        </w:rPr>
        <w:t>стран</w:t>
      </w:r>
    </w:p>
    <w:p w:rsidR="00BE1D32" w:rsidRDefault="00BE1D32" w:rsidP="00BE1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D32" w:rsidRDefault="00BE1D32" w:rsidP="00BE1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и их р</w:t>
      </w:r>
      <w:r w:rsidRPr="00BE1D32">
        <w:rPr>
          <w:rFonts w:ascii="Times New Roman" w:hAnsi="Times New Roman" w:cs="Times New Roman"/>
          <w:sz w:val="28"/>
          <w:szCs w:val="28"/>
        </w:rPr>
        <w:t>егионы не могут развиваться изолированно – 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модель экономического развития требует от них тесного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Необходимость развития межрегиона</w:t>
      </w:r>
      <w:r>
        <w:rPr>
          <w:rFonts w:ascii="Times New Roman" w:hAnsi="Times New Roman" w:cs="Times New Roman"/>
          <w:sz w:val="28"/>
          <w:szCs w:val="28"/>
        </w:rPr>
        <w:t>льных связей подтверждается вос</w:t>
      </w:r>
      <w:r w:rsidRPr="00BE1D32">
        <w:rPr>
          <w:rFonts w:ascii="Times New Roman" w:hAnsi="Times New Roman" w:cs="Times New Roman"/>
          <w:sz w:val="28"/>
          <w:szCs w:val="28"/>
        </w:rPr>
        <w:t>производственным подходом к управ</w:t>
      </w:r>
      <w:r>
        <w:rPr>
          <w:rFonts w:ascii="Times New Roman" w:hAnsi="Times New Roman" w:cs="Times New Roman"/>
          <w:sz w:val="28"/>
          <w:szCs w:val="28"/>
        </w:rPr>
        <w:t>лению экономикой, согласно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D32">
        <w:rPr>
          <w:rFonts w:ascii="Times New Roman" w:hAnsi="Times New Roman" w:cs="Times New Roman"/>
          <w:sz w:val="28"/>
          <w:szCs w:val="28"/>
        </w:rPr>
        <w:t>рому объем и структура произведенного в регионе продукта не идентична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ресурсам воспроизводства, реализованным и использованным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рег</w:t>
      </w:r>
      <w:r w:rsidRPr="00BE1D32">
        <w:rPr>
          <w:rFonts w:ascii="Times New Roman" w:hAnsi="Times New Roman" w:cs="Times New Roman"/>
          <w:sz w:val="28"/>
          <w:szCs w:val="28"/>
        </w:rPr>
        <w:t>и</w:t>
      </w:r>
      <w:r w:rsidRPr="00BE1D32">
        <w:rPr>
          <w:rFonts w:ascii="Times New Roman" w:hAnsi="Times New Roman" w:cs="Times New Roman"/>
          <w:sz w:val="28"/>
          <w:szCs w:val="28"/>
        </w:rPr>
        <w:t>оне. Экономические ресурсы регионального воспроизводственного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 xml:space="preserve">процесса формируются за счет </w:t>
      </w:r>
      <w:proofErr w:type="spellStart"/>
      <w:r w:rsidRPr="00BE1D32">
        <w:rPr>
          <w:rFonts w:ascii="Times New Roman" w:hAnsi="Times New Roman" w:cs="Times New Roman"/>
          <w:sz w:val="28"/>
          <w:szCs w:val="28"/>
        </w:rPr>
        <w:t>внутрирегиональных</w:t>
      </w:r>
      <w:proofErr w:type="spellEnd"/>
      <w:r w:rsidRPr="00BE1D32">
        <w:rPr>
          <w:rFonts w:ascii="Times New Roman" w:hAnsi="Times New Roman" w:cs="Times New Roman"/>
          <w:sz w:val="28"/>
          <w:szCs w:val="28"/>
        </w:rPr>
        <w:t xml:space="preserve"> и межрегиональных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связей и в каждый момент времени ог</w:t>
      </w:r>
      <w:r>
        <w:rPr>
          <w:rFonts w:ascii="Times New Roman" w:hAnsi="Times New Roman" w:cs="Times New Roman"/>
          <w:sz w:val="28"/>
          <w:szCs w:val="28"/>
        </w:rPr>
        <w:t>раничены. Кроме того, националь</w:t>
      </w:r>
      <w:r w:rsidRPr="00BE1D32">
        <w:rPr>
          <w:rFonts w:ascii="Times New Roman" w:hAnsi="Times New Roman" w:cs="Times New Roman"/>
          <w:sz w:val="28"/>
          <w:szCs w:val="28"/>
        </w:rPr>
        <w:t>ный доход, п</w:t>
      </w:r>
      <w:r w:rsidRPr="00BE1D32">
        <w:rPr>
          <w:rFonts w:ascii="Times New Roman" w:hAnsi="Times New Roman" w:cs="Times New Roman"/>
          <w:sz w:val="28"/>
          <w:szCs w:val="28"/>
        </w:rPr>
        <w:t>о</w:t>
      </w:r>
      <w:r w:rsidRPr="00BE1D32">
        <w:rPr>
          <w:rFonts w:ascii="Times New Roman" w:hAnsi="Times New Roman" w:cs="Times New Roman"/>
          <w:sz w:val="28"/>
          <w:szCs w:val="28"/>
        </w:rPr>
        <w:t>требляемый в регионе, не находится в прямой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от объема прои</w:t>
      </w:r>
      <w:r w:rsidRPr="00BE1D32">
        <w:rPr>
          <w:rFonts w:ascii="Times New Roman" w:hAnsi="Times New Roman" w:cs="Times New Roman"/>
          <w:sz w:val="28"/>
          <w:szCs w:val="28"/>
        </w:rPr>
        <w:t>з</w:t>
      </w:r>
      <w:r w:rsidRPr="00BE1D32">
        <w:rPr>
          <w:rFonts w:ascii="Times New Roman" w:hAnsi="Times New Roman" w:cs="Times New Roman"/>
          <w:sz w:val="28"/>
          <w:szCs w:val="28"/>
        </w:rPr>
        <w:t>веденного в нем чистого продукта. Это определяет</w:t>
      </w:r>
      <w:r>
        <w:rPr>
          <w:rFonts w:ascii="Times New Roman" w:hAnsi="Times New Roman" w:cs="Times New Roman"/>
          <w:sz w:val="28"/>
          <w:szCs w:val="28"/>
        </w:rPr>
        <w:t xml:space="preserve"> зависи</w:t>
      </w:r>
      <w:r w:rsidRPr="00BE1D32">
        <w:rPr>
          <w:rFonts w:ascii="Times New Roman" w:hAnsi="Times New Roman" w:cs="Times New Roman"/>
          <w:sz w:val="28"/>
          <w:szCs w:val="28"/>
        </w:rPr>
        <w:t>мость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1D32">
        <w:rPr>
          <w:rFonts w:ascii="Times New Roman" w:hAnsi="Times New Roman" w:cs="Times New Roman"/>
          <w:sz w:val="28"/>
          <w:szCs w:val="28"/>
        </w:rPr>
        <w:t xml:space="preserve"> от межрегиональной экономической интеграции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устойчивости рыночных о</w:t>
      </w:r>
      <w:r w:rsidRPr="00BE1D32">
        <w:rPr>
          <w:rFonts w:ascii="Times New Roman" w:hAnsi="Times New Roman" w:cs="Times New Roman"/>
          <w:sz w:val="28"/>
          <w:szCs w:val="28"/>
        </w:rPr>
        <w:t>т</w:t>
      </w:r>
      <w:r w:rsidRPr="00BE1D32">
        <w:rPr>
          <w:rFonts w:ascii="Times New Roman" w:hAnsi="Times New Roman" w:cs="Times New Roman"/>
          <w:sz w:val="28"/>
          <w:szCs w:val="28"/>
        </w:rPr>
        <w:t>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BA" w:rsidRPr="00BE1D32" w:rsidRDefault="00BE1D32" w:rsidP="009E4A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32">
        <w:rPr>
          <w:rFonts w:ascii="Times New Roman" w:hAnsi="Times New Roman" w:cs="Times New Roman"/>
          <w:sz w:val="28"/>
          <w:szCs w:val="28"/>
        </w:rPr>
        <w:t>С точки зрения обеспечения экономической безопасности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устойчивости является определяющим.</w:t>
      </w:r>
      <w:r w:rsidR="00A452C6"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В этой связи рассмотрим структуру поставок проду</w:t>
      </w:r>
      <w:r>
        <w:rPr>
          <w:rFonts w:ascii="Times New Roman" w:hAnsi="Times New Roman" w:cs="Times New Roman"/>
          <w:sz w:val="28"/>
          <w:szCs w:val="28"/>
        </w:rPr>
        <w:t>кции, произведен</w:t>
      </w:r>
      <w:r w:rsidRPr="00BE1D32">
        <w:rPr>
          <w:rFonts w:ascii="Times New Roman" w:hAnsi="Times New Roman" w:cs="Times New Roman"/>
          <w:sz w:val="28"/>
          <w:szCs w:val="28"/>
        </w:rPr>
        <w:t>ной Вологодской областью, по каналам ре</w:t>
      </w:r>
      <w:r w:rsidRPr="00BE1D32">
        <w:rPr>
          <w:rFonts w:ascii="Times New Roman" w:hAnsi="Times New Roman" w:cs="Times New Roman"/>
          <w:sz w:val="28"/>
          <w:szCs w:val="28"/>
        </w:rPr>
        <w:t>а</w:t>
      </w:r>
      <w:r w:rsidR="006724BA">
        <w:rPr>
          <w:rFonts w:ascii="Times New Roman" w:hAnsi="Times New Roman" w:cs="Times New Roman"/>
          <w:sz w:val="28"/>
          <w:szCs w:val="28"/>
        </w:rPr>
        <w:t>лизации</w:t>
      </w:r>
      <w:r w:rsidRPr="00BE1D32">
        <w:rPr>
          <w:rFonts w:ascii="Times New Roman" w:hAnsi="Times New Roman" w:cs="Times New Roman"/>
          <w:sz w:val="28"/>
          <w:szCs w:val="28"/>
        </w:rPr>
        <w:t>. Вологодская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 xml:space="preserve">область – </w:t>
      </w:r>
      <w:proofErr w:type="spellStart"/>
      <w:r w:rsidRPr="00BE1D32">
        <w:rPr>
          <w:rFonts w:ascii="Times New Roman" w:hAnsi="Times New Roman" w:cs="Times New Roman"/>
          <w:sz w:val="28"/>
          <w:szCs w:val="28"/>
        </w:rPr>
        <w:t>экспортоориентированный</w:t>
      </w:r>
      <w:proofErr w:type="spellEnd"/>
      <w:r w:rsidRPr="00BE1D32">
        <w:rPr>
          <w:rFonts w:ascii="Times New Roman" w:hAnsi="Times New Roman" w:cs="Times New Roman"/>
          <w:sz w:val="28"/>
          <w:szCs w:val="28"/>
        </w:rPr>
        <w:t xml:space="preserve"> регион. Около трети производимой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32">
        <w:rPr>
          <w:rFonts w:ascii="Times New Roman" w:hAnsi="Times New Roman" w:cs="Times New Roman"/>
          <w:sz w:val="28"/>
          <w:szCs w:val="28"/>
        </w:rPr>
        <w:t>продукции идет на экспорт, в другие регионы России – около половины.</w:t>
      </w:r>
      <w:r w:rsidR="006724BA">
        <w:rPr>
          <w:rFonts w:ascii="Times New Roman" w:hAnsi="Times New Roman" w:cs="Times New Roman"/>
          <w:sz w:val="28"/>
          <w:szCs w:val="28"/>
        </w:rPr>
        <w:t xml:space="preserve"> </w:t>
      </w:r>
      <w:r w:rsidR="006724BA" w:rsidRPr="006724BA">
        <w:rPr>
          <w:rFonts w:ascii="Times New Roman" w:hAnsi="Times New Roman" w:cs="Times New Roman"/>
          <w:sz w:val="28"/>
          <w:szCs w:val="28"/>
        </w:rPr>
        <w:t>Такая большая доля экспортных поставок ставит экономику области в</w:t>
      </w:r>
      <w:r w:rsidR="006724BA">
        <w:rPr>
          <w:rFonts w:ascii="Times New Roman" w:hAnsi="Times New Roman" w:cs="Times New Roman"/>
          <w:sz w:val="28"/>
          <w:szCs w:val="28"/>
        </w:rPr>
        <w:t xml:space="preserve"> </w:t>
      </w:r>
      <w:r w:rsidR="006724BA" w:rsidRPr="006724BA">
        <w:rPr>
          <w:rFonts w:ascii="Times New Roman" w:hAnsi="Times New Roman" w:cs="Times New Roman"/>
          <w:sz w:val="28"/>
          <w:szCs w:val="28"/>
        </w:rPr>
        <w:t>сильную зависимость от стабильности мировых рынков. Динамика ВРП</w:t>
      </w:r>
      <w:r w:rsidR="006724BA">
        <w:rPr>
          <w:rFonts w:ascii="Times New Roman" w:hAnsi="Times New Roman" w:cs="Times New Roman"/>
          <w:sz w:val="28"/>
          <w:szCs w:val="28"/>
        </w:rPr>
        <w:t xml:space="preserve"> </w:t>
      </w:r>
      <w:r w:rsidR="006724BA" w:rsidRPr="006724BA">
        <w:rPr>
          <w:rFonts w:ascii="Times New Roman" w:hAnsi="Times New Roman" w:cs="Times New Roman"/>
          <w:sz w:val="28"/>
          <w:szCs w:val="28"/>
        </w:rPr>
        <w:t>и экспорта области имеют сильную корреляцию (рис. 1).</w:t>
      </w:r>
    </w:p>
    <w:p w:rsidR="009E4A82" w:rsidRDefault="009E4A82" w:rsidP="00672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810C283" wp14:editId="5602E16C">
            <wp:extent cx="5783283" cy="2458192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D32" w:rsidRPr="006724BA" w:rsidRDefault="006724BA" w:rsidP="006724B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724BA">
        <w:rPr>
          <w:rFonts w:ascii="Times New Roman" w:hAnsi="Times New Roman" w:cs="Times New Roman"/>
          <w:sz w:val="24"/>
          <w:szCs w:val="20"/>
        </w:rPr>
        <w:t xml:space="preserve">Рис. 1. </w:t>
      </w:r>
      <w:r w:rsidRPr="006724BA">
        <w:rPr>
          <w:rFonts w:ascii="Times New Roman" w:hAnsi="Times New Roman" w:cs="Times New Roman"/>
          <w:b/>
          <w:bCs/>
          <w:sz w:val="24"/>
          <w:szCs w:val="20"/>
        </w:rPr>
        <w:t>ВРП и экспорт Вологодской области в 2005–201</w:t>
      </w:r>
      <w:r w:rsidR="009E4A82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Pr="006724BA">
        <w:rPr>
          <w:rFonts w:ascii="Times New Roman" w:hAnsi="Times New Roman" w:cs="Times New Roman"/>
          <w:b/>
          <w:bCs/>
          <w:sz w:val="24"/>
          <w:szCs w:val="20"/>
        </w:rPr>
        <w:t xml:space="preserve"> годах</w:t>
      </w:r>
    </w:p>
    <w:p w:rsidR="006724BA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4BA" w:rsidRPr="00BE1D32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На рисунке 2 приведена динамика темпа роста цен на холоднокатаный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лист на мировом и российском рынках в 2008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24BA">
        <w:rPr>
          <w:rFonts w:ascii="Times New Roman" w:hAnsi="Times New Roman" w:cs="Times New Roman"/>
          <w:sz w:val="28"/>
          <w:szCs w:val="28"/>
        </w:rPr>
        <w:t>2012 годах. Из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видно, что на мировом рынке падение цен в период кризиса было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значител</w:t>
      </w:r>
      <w:r w:rsidRPr="006724BA">
        <w:rPr>
          <w:rFonts w:ascii="Times New Roman" w:hAnsi="Times New Roman" w:cs="Times New Roman"/>
          <w:sz w:val="28"/>
          <w:szCs w:val="28"/>
        </w:rPr>
        <w:t>ь</w:t>
      </w:r>
      <w:r w:rsidRPr="006724BA">
        <w:rPr>
          <w:rFonts w:ascii="Times New Roman" w:hAnsi="Times New Roman" w:cs="Times New Roman"/>
          <w:sz w:val="28"/>
          <w:szCs w:val="28"/>
        </w:rPr>
        <w:t>ным, чем на российском. Кроме того, цены на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рынке быстрее д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t>стигли докризисного уровня.</w:t>
      </w:r>
    </w:p>
    <w:p w:rsidR="00BE1D32" w:rsidRPr="00BE1D32" w:rsidRDefault="006724BA" w:rsidP="00672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F0053E" wp14:editId="3505D213">
            <wp:extent cx="5940425" cy="2728616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4BA" w:rsidRPr="006724BA" w:rsidRDefault="006724BA" w:rsidP="006724B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>Рис. 2</w:t>
      </w:r>
      <w:r w:rsidRPr="006724BA">
        <w:rPr>
          <w:rFonts w:ascii="Times New Roman" w:hAnsi="Times New Roman" w:cs="Times New Roman"/>
          <w:sz w:val="24"/>
          <w:szCs w:val="20"/>
        </w:rPr>
        <w:t xml:space="preserve">. </w:t>
      </w:r>
      <w:r w:rsidRPr="006724BA">
        <w:rPr>
          <w:rFonts w:ascii="Times New Roman" w:hAnsi="Times New Roman" w:cs="Times New Roman"/>
          <w:b/>
          <w:bCs/>
          <w:sz w:val="24"/>
          <w:szCs w:val="20"/>
        </w:rPr>
        <w:t>Темп роста цены на холоднокатаный лист на мировом и российском рынках</w:t>
      </w:r>
      <w:r w:rsidR="00FD2508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в</w:t>
      </w:r>
      <w:r w:rsidR="00FD2508">
        <w:rPr>
          <w:rFonts w:ascii="Times New Roman" w:hAnsi="Times New Roman" w:cs="Times New Roman"/>
          <w:b/>
          <w:bCs/>
          <w:sz w:val="24"/>
          <w:szCs w:val="20"/>
        </w:rPr>
        <w:t> </w:t>
      </w:r>
      <w:r>
        <w:rPr>
          <w:rFonts w:ascii="Times New Roman" w:hAnsi="Times New Roman" w:cs="Times New Roman"/>
          <w:b/>
          <w:bCs/>
          <w:sz w:val="24"/>
          <w:szCs w:val="20"/>
        </w:rPr>
        <w:t>2008-</w:t>
      </w:r>
      <w:r w:rsidRPr="006724BA">
        <w:rPr>
          <w:rFonts w:ascii="Times New Roman" w:hAnsi="Times New Roman" w:cs="Times New Roman"/>
          <w:b/>
          <w:bCs/>
          <w:sz w:val="24"/>
          <w:szCs w:val="20"/>
        </w:rPr>
        <w:t>2012 годах, % к I кварталу 2008 года</w:t>
      </w:r>
    </w:p>
    <w:p w:rsidR="00BE1D32" w:rsidRDefault="00BE1D32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4BA" w:rsidRPr="006724BA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Резкое падение цен на мировом рынке привело к падению прибыли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«С</w:t>
      </w:r>
      <w:r w:rsidRPr="006724BA">
        <w:rPr>
          <w:rFonts w:ascii="Times New Roman" w:hAnsi="Times New Roman" w:cs="Times New Roman"/>
          <w:sz w:val="28"/>
          <w:szCs w:val="28"/>
        </w:rPr>
        <w:t>е</w:t>
      </w:r>
      <w:r w:rsidRPr="006724BA">
        <w:rPr>
          <w:rFonts w:ascii="Times New Roman" w:hAnsi="Times New Roman" w:cs="Times New Roman"/>
          <w:sz w:val="28"/>
          <w:szCs w:val="28"/>
        </w:rPr>
        <w:t>верстали» и, как следствие, к снижению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налога на прибыль (в целом снижение поступлений от налога на прибыль в 2009 г. с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lastRenderedPageBreak/>
        <w:t>ставило 75%, что привело к падению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областного бюджета на 46%).</w:t>
      </w:r>
    </w:p>
    <w:p w:rsidR="006724BA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В этой связи развитие и расширение внутреннего рынка – первоочере</w:t>
      </w:r>
      <w:r w:rsidRPr="006724BA">
        <w:rPr>
          <w:rFonts w:ascii="Times New Roman" w:hAnsi="Times New Roman" w:cs="Times New Roman"/>
          <w:sz w:val="28"/>
          <w:szCs w:val="28"/>
        </w:rPr>
        <w:t>д</w:t>
      </w:r>
      <w:r w:rsidRPr="006724BA">
        <w:rPr>
          <w:rFonts w:ascii="Times New Roman" w:hAnsi="Times New Roman" w:cs="Times New Roman"/>
          <w:sz w:val="28"/>
          <w:szCs w:val="28"/>
        </w:rPr>
        <w:t>ная задача для повышения экономической безопасности региона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страны в целом.</w:t>
      </w:r>
      <w:r w:rsidR="00FD2508"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На наш взгляд, у нынешнего руководства страны есть понимание данной проблемы.</w:t>
      </w:r>
    </w:p>
    <w:p w:rsidR="006724BA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До 1999 года регионы России устанавливали экономические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сам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t>стоятельно (рис. 3). Правительства республик, краев и областей подписывали двусторонние договоры о сотрудничестве, и такого типа межрегиональные взаимодействия связывали регионы друг с другом.</w:t>
      </w:r>
    </w:p>
    <w:p w:rsidR="006724BA" w:rsidRDefault="006724BA" w:rsidP="00672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После 2000 года к расширению внутреннего рынка стали подходить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б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t>лее централизованно. В целях обеспечения реализации 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РФ св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t>их конституционных полномочий,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деятельности федеральных органов государственной власти и совершенствования системы контроля за исполнением их решений были организованы федеральные окр</w:t>
      </w:r>
      <w:r w:rsidRPr="006724BA">
        <w:rPr>
          <w:rFonts w:ascii="Times New Roman" w:hAnsi="Times New Roman" w:cs="Times New Roman"/>
          <w:sz w:val="28"/>
          <w:szCs w:val="28"/>
        </w:rPr>
        <w:t>у</w:t>
      </w:r>
      <w:r w:rsidRPr="006724BA">
        <w:rPr>
          <w:rFonts w:ascii="Times New Roman" w:hAnsi="Times New Roman" w:cs="Times New Roman"/>
          <w:sz w:val="28"/>
          <w:szCs w:val="28"/>
        </w:rPr>
        <w:t>га. Экономические функции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округов свелись к решению вопр</w:t>
      </w:r>
      <w:r w:rsidRPr="006724BA">
        <w:rPr>
          <w:rFonts w:ascii="Times New Roman" w:hAnsi="Times New Roman" w:cs="Times New Roman"/>
          <w:sz w:val="28"/>
          <w:szCs w:val="28"/>
        </w:rPr>
        <w:t>о</w:t>
      </w:r>
      <w:r w:rsidRPr="006724BA">
        <w:rPr>
          <w:rFonts w:ascii="Times New Roman" w:hAnsi="Times New Roman" w:cs="Times New Roman"/>
          <w:sz w:val="28"/>
          <w:szCs w:val="28"/>
        </w:rPr>
        <w:t>сов стратегической координации регионального развития, инвестиционной деятельности и межрегиональных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sz w:val="28"/>
          <w:szCs w:val="28"/>
        </w:rPr>
        <w:t>связей.</w:t>
      </w:r>
    </w:p>
    <w:p w:rsidR="009E4A82" w:rsidRDefault="009E4A82" w:rsidP="009E4A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5E5D2" wp14:editId="263E9184">
            <wp:extent cx="57816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508" w:rsidRPr="00FD2508" w:rsidRDefault="00FD2508" w:rsidP="00FD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D2508">
        <w:rPr>
          <w:rFonts w:ascii="Times New Roman" w:hAnsi="Times New Roman" w:cs="Times New Roman"/>
          <w:sz w:val="24"/>
          <w:szCs w:val="20"/>
        </w:rPr>
        <w:t xml:space="preserve">Рис. 3. </w:t>
      </w:r>
      <w:r w:rsidRPr="00FD2508">
        <w:rPr>
          <w:rFonts w:ascii="Times New Roman" w:hAnsi="Times New Roman" w:cs="Times New Roman"/>
          <w:b/>
          <w:sz w:val="24"/>
          <w:szCs w:val="20"/>
        </w:rPr>
        <w:t>Динамика вывоза товаров организациями-производителями организациями</w:t>
      </w:r>
    </w:p>
    <w:p w:rsidR="00FD2508" w:rsidRPr="00FD2508" w:rsidRDefault="00FD2508" w:rsidP="00FD25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D2508">
        <w:rPr>
          <w:rFonts w:ascii="Times New Roman" w:hAnsi="Times New Roman" w:cs="Times New Roman"/>
          <w:b/>
          <w:sz w:val="24"/>
          <w:szCs w:val="20"/>
        </w:rPr>
        <w:t>оптовой торговли из субъектов РФ</w:t>
      </w:r>
      <w:r w:rsidRPr="00FD2508">
        <w:rPr>
          <w:rFonts w:ascii="Times New Roman" w:hAnsi="Times New Roman" w:cs="Times New Roman"/>
          <w:sz w:val="24"/>
          <w:szCs w:val="20"/>
        </w:rPr>
        <w:t>, % к 1991 году</w:t>
      </w:r>
    </w:p>
    <w:p w:rsidR="009E4A82" w:rsidRDefault="009E4A82" w:rsidP="00FD25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08" w:rsidRDefault="00FD2508" w:rsidP="00FD25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lastRenderedPageBreak/>
        <w:t>В 2007 году начал формироваться Таможенный союз России, Белору</w:t>
      </w:r>
      <w:r w:rsidRPr="00FD2508">
        <w:rPr>
          <w:rFonts w:ascii="Times New Roman" w:hAnsi="Times New Roman" w:cs="Times New Roman"/>
          <w:sz w:val="28"/>
          <w:szCs w:val="28"/>
        </w:rPr>
        <w:t>с</w:t>
      </w:r>
      <w:r w:rsidRPr="00FD2508">
        <w:rPr>
          <w:rFonts w:ascii="Times New Roman" w:hAnsi="Times New Roman" w:cs="Times New Roman"/>
          <w:sz w:val="28"/>
          <w:szCs w:val="28"/>
        </w:rPr>
        <w:t>сии и Казахстана. В 2012 году началась ратификация соглашений о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св</w:t>
      </w:r>
      <w:r w:rsidRPr="00FD2508">
        <w:rPr>
          <w:rFonts w:ascii="Times New Roman" w:hAnsi="Times New Roman" w:cs="Times New Roman"/>
          <w:sz w:val="28"/>
          <w:szCs w:val="28"/>
        </w:rPr>
        <w:t>о</w:t>
      </w:r>
      <w:r w:rsidRPr="00FD2508">
        <w:rPr>
          <w:rFonts w:ascii="Times New Roman" w:hAnsi="Times New Roman" w:cs="Times New Roman"/>
          <w:sz w:val="28"/>
          <w:szCs w:val="28"/>
        </w:rPr>
        <w:t>бодной торговли между Беларусью, Украиной и Россией.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интегр</w:t>
      </w:r>
      <w:r w:rsidRPr="00FD2508">
        <w:rPr>
          <w:rFonts w:ascii="Times New Roman" w:hAnsi="Times New Roman" w:cs="Times New Roman"/>
          <w:sz w:val="28"/>
          <w:szCs w:val="28"/>
        </w:rPr>
        <w:t>а</w:t>
      </w:r>
      <w:r w:rsidRPr="00FD2508">
        <w:rPr>
          <w:rFonts w:ascii="Times New Roman" w:hAnsi="Times New Roman" w:cs="Times New Roman"/>
          <w:sz w:val="28"/>
          <w:szCs w:val="28"/>
        </w:rPr>
        <w:t>ции на постсоветском пространстве идет полным ходом.</w:t>
      </w:r>
    </w:p>
    <w:p w:rsidR="00FD2508" w:rsidRPr="00FD2508" w:rsidRDefault="00FD2508" w:rsidP="00FD25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t>Смысл современных интеграционных процессов в этом свете проступает вполне явственно: формирование достаточно мощных экономических гру</w:t>
      </w:r>
      <w:r w:rsidRPr="00FD2508">
        <w:rPr>
          <w:rFonts w:ascii="Times New Roman" w:hAnsi="Times New Roman" w:cs="Times New Roman"/>
          <w:sz w:val="28"/>
          <w:szCs w:val="28"/>
        </w:rPr>
        <w:t>п</w:t>
      </w:r>
      <w:r w:rsidRPr="00FD2508">
        <w:rPr>
          <w:rFonts w:ascii="Times New Roman" w:hAnsi="Times New Roman" w:cs="Times New Roman"/>
          <w:sz w:val="28"/>
          <w:szCs w:val="28"/>
        </w:rPr>
        <w:t>пировок, способных быть эффективными в международной конкуренции, и построение экономик, обеспечивающих за счет замкнутости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воспроизво</w:t>
      </w:r>
      <w:r w:rsidRPr="00FD2508">
        <w:rPr>
          <w:rFonts w:ascii="Times New Roman" w:hAnsi="Times New Roman" w:cs="Times New Roman"/>
          <w:sz w:val="28"/>
          <w:szCs w:val="28"/>
        </w:rPr>
        <w:t>д</w:t>
      </w:r>
      <w:r w:rsidRPr="00FD2508">
        <w:rPr>
          <w:rFonts w:ascii="Times New Roman" w:hAnsi="Times New Roman" w:cs="Times New Roman"/>
          <w:sz w:val="28"/>
          <w:szCs w:val="28"/>
        </w:rPr>
        <w:t>ственного контура устойчивость и независимость в этой конкурентной бор</w:t>
      </w:r>
      <w:r w:rsidRPr="00FD2508">
        <w:rPr>
          <w:rFonts w:ascii="Times New Roman" w:hAnsi="Times New Roman" w:cs="Times New Roman"/>
          <w:sz w:val="28"/>
          <w:szCs w:val="28"/>
        </w:rPr>
        <w:t>ь</w:t>
      </w:r>
      <w:r w:rsidRPr="00FD2508">
        <w:rPr>
          <w:rFonts w:ascii="Times New Roman" w:hAnsi="Times New Roman" w:cs="Times New Roman"/>
          <w:sz w:val="28"/>
          <w:szCs w:val="28"/>
        </w:rPr>
        <w:t>бе.</w:t>
      </w:r>
    </w:p>
    <w:p w:rsidR="00FD2508" w:rsidRPr="00FD2508" w:rsidRDefault="00FD2508" w:rsidP="00FD25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t>Развитие межрегиональных торгово-экономических отношений спосо</w:t>
      </w:r>
      <w:r w:rsidRPr="00FD2508">
        <w:rPr>
          <w:rFonts w:ascii="Times New Roman" w:hAnsi="Times New Roman" w:cs="Times New Roman"/>
          <w:sz w:val="28"/>
          <w:szCs w:val="28"/>
        </w:rPr>
        <w:t>б</w:t>
      </w:r>
      <w:r w:rsidRPr="00FD2508">
        <w:rPr>
          <w:rFonts w:ascii="Times New Roman" w:hAnsi="Times New Roman" w:cs="Times New Roman"/>
          <w:sz w:val="28"/>
          <w:szCs w:val="28"/>
        </w:rPr>
        <w:t>ствует самосохранению крупной экономической системы, усиливает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инт</w:t>
      </w:r>
      <w:r w:rsidRPr="00FD2508">
        <w:rPr>
          <w:rFonts w:ascii="Times New Roman" w:hAnsi="Times New Roman" w:cs="Times New Roman"/>
          <w:sz w:val="28"/>
          <w:szCs w:val="28"/>
        </w:rPr>
        <w:t>е</w:t>
      </w:r>
      <w:r w:rsidRPr="00FD2508">
        <w:rPr>
          <w:rFonts w:ascii="Times New Roman" w:hAnsi="Times New Roman" w:cs="Times New Roman"/>
          <w:sz w:val="28"/>
          <w:szCs w:val="28"/>
        </w:rPr>
        <w:t>грационные процессы и формирует экономические предпосылки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образ</w:t>
      </w:r>
      <w:r w:rsidRPr="00FD2508">
        <w:rPr>
          <w:rFonts w:ascii="Times New Roman" w:hAnsi="Times New Roman" w:cs="Times New Roman"/>
          <w:sz w:val="28"/>
          <w:szCs w:val="28"/>
        </w:rPr>
        <w:t>о</w:t>
      </w:r>
      <w:r w:rsidRPr="00FD2508">
        <w:rPr>
          <w:rFonts w:ascii="Times New Roman" w:hAnsi="Times New Roman" w:cs="Times New Roman"/>
          <w:sz w:val="28"/>
          <w:szCs w:val="28"/>
        </w:rPr>
        <w:t>вания единого экономического, а затем и политического пространства гос</w:t>
      </w:r>
      <w:r w:rsidRPr="00FD2508">
        <w:rPr>
          <w:rFonts w:ascii="Times New Roman" w:hAnsi="Times New Roman" w:cs="Times New Roman"/>
          <w:sz w:val="28"/>
          <w:szCs w:val="28"/>
        </w:rPr>
        <w:t>у</w:t>
      </w:r>
      <w:r w:rsidRPr="00FD2508">
        <w:rPr>
          <w:rFonts w:ascii="Times New Roman" w:hAnsi="Times New Roman" w:cs="Times New Roman"/>
          <w:sz w:val="28"/>
          <w:szCs w:val="28"/>
        </w:rPr>
        <w:t>дарства. Поэтому с точки зрения национальной безопасности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представл</w:t>
      </w:r>
      <w:r w:rsidRPr="00FD2508">
        <w:rPr>
          <w:rFonts w:ascii="Times New Roman" w:hAnsi="Times New Roman" w:cs="Times New Roman"/>
          <w:sz w:val="28"/>
          <w:szCs w:val="28"/>
        </w:rPr>
        <w:t>я</w:t>
      </w:r>
      <w:r w:rsidRPr="00FD2508">
        <w:rPr>
          <w:rFonts w:ascii="Times New Roman" w:hAnsi="Times New Roman" w:cs="Times New Roman"/>
          <w:sz w:val="28"/>
          <w:szCs w:val="28"/>
        </w:rPr>
        <w:t>ется исключительно важным.</w:t>
      </w:r>
    </w:p>
    <w:p w:rsidR="00FD2508" w:rsidRPr="00FD2508" w:rsidRDefault="00FD2508" w:rsidP="00FD25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t>ИСЭРТ РАН проводит ежегодный опрос руководителей средних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кру</w:t>
      </w:r>
      <w:r w:rsidRPr="00FD2508">
        <w:rPr>
          <w:rFonts w:ascii="Times New Roman" w:hAnsi="Times New Roman" w:cs="Times New Roman"/>
          <w:sz w:val="28"/>
          <w:szCs w:val="28"/>
        </w:rPr>
        <w:t>п</w:t>
      </w:r>
      <w:r w:rsidRPr="00FD2508">
        <w:rPr>
          <w:rFonts w:ascii="Times New Roman" w:hAnsi="Times New Roman" w:cs="Times New Roman"/>
          <w:sz w:val="28"/>
          <w:szCs w:val="28"/>
        </w:rPr>
        <w:t>ных промышленных предприятий области. В опросе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4A82">
        <w:rPr>
          <w:rFonts w:ascii="Times New Roman" w:hAnsi="Times New Roman" w:cs="Times New Roman"/>
          <w:sz w:val="28"/>
          <w:szCs w:val="28"/>
        </w:rPr>
        <w:t>5</w:t>
      </w:r>
      <w:r w:rsidRPr="00FD2508">
        <w:rPr>
          <w:rFonts w:ascii="Times New Roman" w:hAnsi="Times New Roman" w:cs="Times New Roman"/>
          <w:sz w:val="28"/>
          <w:szCs w:val="28"/>
        </w:rPr>
        <w:t xml:space="preserve"> года приняло уч</w:t>
      </w:r>
      <w:r w:rsidRPr="00FD2508">
        <w:rPr>
          <w:rFonts w:ascii="Times New Roman" w:hAnsi="Times New Roman" w:cs="Times New Roman"/>
          <w:sz w:val="28"/>
          <w:szCs w:val="28"/>
        </w:rPr>
        <w:t>а</w:t>
      </w:r>
      <w:r w:rsidRPr="00FD2508">
        <w:rPr>
          <w:rFonts w:ascii="Times New Roman" w:hAnsi="Times New Roman" w:cs="Times New Roman"/>
          <w:sz w:val="28"/>
          <w:szCs w:val="28"/>
        </w:rPr>
        <w:t xml:space="preserve">стие почти </w:t>
      </w:r>
      <w:r w:rsidR="009E4A82">
        <w:rPr>
          <w:rFonts w:ascii="Times New Roman" w:hAnsi="Times New Roman" w:cs="Times New Roman"/>
          <w:sz w:val="28"/>
          <w:szCs w:val="28"/>
        </w:rPr>
        <w:t>70</w:t>
      </w:r>
      <w:r w:rsidRPr="00FD2508">
        <w:rPr>
          <w:rFonts w:ascii="Times New Roman" w:hAnsi="Times New Roman" w:cs="Times New Roman"/>
          <w:sz w:val="28"/>
          <w:szCs w:val="28"/>
        </w:rPr>
        <w:t xml:space="preserve"> руководителей. О взаимодействии с 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России по Т</w:t>
      </w:r>
      <w:r w:rsidRPr="00FD2508">
        <w:rPr>
          <w:rFonts w:ascii="Times New Roman" w:hAnsi="Times New Roman" w:cs="Times New Roman"/>
          <w:sz w:val="28"/>
          <w:szCs w:val="28"/>
        </w:rPr>
        <w:t>а</w:t>
      </w:r>
      <w:r w:rsidRPr="00FD2508">
        <w:rPr>
          <w:rFonts w:ascii="Times New Roman" w:hAnsi="Times New Roman" w:cs="Times New Roman"/>
          <w:sz w:val="28"/>
          <w:szCs w:val="28"/>
        </w:rPr>
        <w:t>моженному союзу – Белоруссией и Казахстаном – заявили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46% респонде</w:t>
      </w:r>
      <w:r w:rsidRPr="00FD2508">
        <w:rPr>
          <w:rFonts w:ascii="Times New Roman" w:hAnsi="Times New Roman" w:cs="Times New Roman"/>
          <w:sz w:val="28"/>
          <w:szCs w:val="28"/>
        </w:rPr>
        <w:t>н</w:t>
      </w:r>
      <w:r w:rsidRPr="00FD2508">
        <w:rPr>
          <w:rFonts w:ascii="Times New Roman" w:hAnsi="Times New Roman" w:cs="Times New Roman"/>
          <w:sz w:val="28"/>
          <w:szCs w:val="28"/>
        </w:rPr>
        <w:t>тов, причем основная масса контактов вологодских обрабатывающих прои</w:t>
      </w:r>
      <w:r w:rsidRPr="00FD2508">
        <w:rPr>
          <w:rFonts w:ascii="Times New Roman" w:hAnsi="Times New Roman" w:cs="Times New Roman"/>
          <w:sz w:val="28"/>
          <w:szCs w:val="28"/>
        </w:rPr>
        <w:t>з</w:t>
      </w:r>
      <w:r w:rsidRPr="00FD2508">
        <w:rPr>
          <w:rFonts w:ascii="Times New Roman" w:hAnsi="Times New Roman" w:cs="Times New Roman"/>
          <w:sz w:val="28"/>
          <w:szCs w:val="28"/>
        </w:rPr>
        <w:t>водств приходится именно на предприятия Беларуси.</w:t>
      </w:r>
    </w:p>
    <w:p w:rsidR="008304D7" w:rsidRDefault="00FD2508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t>Традиционно главным направлением сотрудничества предприятий явл</w:t>
      </w:r>
      <w:r w:rsidRPr="00FD2508">
        <w:rPr>
          <w:rFonts w:ascii="Times New Roman" w:hAnsi="Times New Roman" w:cs="Times New Roman"/>
          <w:sz w:val="28"/>
          <w:szCs w:val="28"/>
        </w:rPr>
        <w:t>я</w:t>
      </w:r>
      <w:r w:rsidRPr="00FD2508">
        <w:rPr>
          <w:rFonts w:ascii="Times New Roman" w:hAnsi="Times New Roman" w:cs="Times New Roman"/>
          <w:sz w:val="28"/>
          <w:szCs w:val="28"/>
        </w:rPr>
        <w:t>ется реализация продукции (</w:t>
      </w:r>
      <w:r w:rsidR="00B72A85">
        <w:rPr>
          <w:rFonts w:ascii="Times New Roman" w:hAnsi="Times New Roman" w:cs="Times New Roman"/>
          <w:sz w:val="28"/>
          <w:szCs w:val="28"/>
        </w:rPr>
        <w:t>75</w:t>
      </w:r>
      <w:r w:rsidRPr="00FD2508">
        <w:rPr>
          <w:rFonts w:ascii="Times New Roman" w:hAnsi="Times New Roman" w:cs="Times New Roman"/>
          <w:sz w:val="28"/>
          <w:szCs w:val="28"/>
        </w:rPr>
        <w:t>%) и обеспечение сырьем (</w:t>
      </w:r>
      <w:r w:rsidR="00B72A85">
        <w:rPr>
          <w:rFonts w:ascii="Times New Roman" w:hAnsi="Times New Roman" w:cs="Times New Roman"/>
          <w:sz w:val="28"/>
          <w:szCs w:val="28"/>
        </w:rPr>
        <w:t>58</w:t>
      </w:r>
      <w:r w:rsidRPr="00FD2508">
        <w:rPr>
          <w:rFonts w:ascii="Times New Roman" w:hAnsi="Times New Roman" w:cs="Times New Roman"/>
          <w:sz w:val="28"/>
          <w:szCs w:val="28"/>
        </w:rPr>
        <w:t>%; рис. 4). К с</w:t>
      </w:r>
      <w:r w:rsidRPr="00FD2508">
        <w:rPr>
          <w:rFonts w:ascii="Times New Roman" w:hAnsi="Times New Roman" w:cs="Times New Roman"/>
          <w:sz w:val="28"/>
          <w:szCs w:val="28"/>
        </w:rPr>
        <w:t>о</w:t>
      </w:r>
      <w:r w:rsidRPr="00FD2508">
        <w:rPr>
          <w:rFonts w:ascii="Times New Roman" w:hAnsi="Times New Roman" w:cs="Times New Roman"/>
          <w:sz w:val="28"/>
          <w:szCs w:val="28"/>
        </w:rPr>
        <w:t>жалению, другие 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направления сотрудничества (обмен техн</w:t>
      </w:r>
      <w:r w:rsidRPr="00FD2508">
        <w:rPr>
          <w:rFonts w:ascii="Times New Roman" w:hAnsi="Times New Roman" w:cs="Times New Roman"/>
          <w:sz w:val="28"/>
          <w:szCs w:val="28"/>
        </w:rPr>
        <w:t>о</w:t>
      </w:r>
      <w:r w:rsidRPr="00FD2508">
        <w:rPr>
          <w:rFonts w:ascii="Times New Roman" w:hAnsi="Times New Roman" w:cs="Times New Roman"/>
          <w:sz w:val="28"/>
          <w:szCs w:val="28"/>
        </w:rPr>
        <w:t>логиями, 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деятельность, образование и повышение квалиф</w:t>
      </w:r>
      <w:r w:rsidRPr="00FD2508">
        <w:rPr>
          <w:rFonts w:ascii="Times New Roman" w:hAnsi="Times New Roman" w:cs="Times New Roman"/>
          <w:sz w:val="28"/>
          <w:szCs w:val="28"/>
        </w:rPr>
        <w:t>и</w:t>
      </w:r>
      <w:r w:rsidRPr="00FD2508">
        <w:rPr>
          <w:rFonts w:ascii="Times New Roman" w:hAnsi="Times New Roman" w:cs="Times New Roman"/>
          <w:sz w:val="28"/>
          <w:szCs w:val="28"/>
        </w:rPr>
        <w:t>кации) либо осуществляются с минимальным успехом, либо вовсе не ос</w:t>
      </w:r>
      <w:r w:rsidRPr="00FD2508">
        <w:rPr>
          <w:rFonts w:ascii="Times New Roman" w:hAnsi="Times New Roman" w:cs="Times New Roman"/>
          <w:sz w:val="28"/>
          <w:szCs w:val="28"/>
        </w:rPr>
        <w:t>у</w:t>
      </w:r>
      <w:r w:rsidRPr="00FD2508">
        <w:rPr>
          <w:rFonts w:ascii="Times New Roman" w:hAnsi="Times New Roman" w:cs="Times New Roman"/>
          <w:sz w:val="28"/>
          <w:szCs w:val="28"/>
        </w:rPr>
        <w:t>ществляются.</w:t>
      </w:r>
    </w:p>
    <w:p w:rsidR="00B72A85" w:rsidRDefault="00B72A85" w:rsidP="00830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58030336" wp14:editId="069F0C35">
            <wp:extent cx="53530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4D7" w:rsidRPr="008304D7" w:rsidRDefault="008304D7" w:rsidP="00830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304D7">
        <w:rPr>
          <w:rFonts w:ascii="Times New Roman" w:hAnsi="Times New Roman" w:cs="Times New Roman"/>
          <w:sz w:val="24"/>
          <w:szCs w:val="20"/>
        </w:rPr>
        <w:t xml:space="preserve">Рис. 4. </w:t>
      </w:r>
      <w:r w:rsidRPr="008304D7">
        <w:rPr>
          <w:rFonts w:ascii="Times New Roman" w:hAnsi="Times New Roman" w:cs="Times New Roman"/>
          <w:b/>
          <w:sz w:val="24"/>
          <w:szCs w:val="20"/>
        </w:rPr>
        <w:t>Направления сотрудничества промышленных предприятий Вологодской о</w:t>
      </w:r>
      <w:r w:rsidRPr="008304D7">
        <w:rPr>
          <w:rFonts w:ascii="Times New Roman" w:hAnsi="Times New Roman" w:cs="Times New Roman"/>
          <w:b/>
          <w:sz w:val="24"/>
          <w:szCs w:val="20"/>
        </w:rPr>
        <w:t>б</w:t>
      </w:r>
      <w:r w:rsidRPr="008304D7">
        <w:rPr>
          <w:rFonts w:ascii="Times New Roman" w:hAnsi="Times New Roman" w:cs="Times New Roman"/>
          <w:b/>
          <w:sz w:val="24"/>
          <w:szCs w:val="20"/>
        </w:rPr>
        <w:t xml:space="preserve">ласти с предприятиями/организациями </w:t>
      </w:r>
      <w:r w:rsidRPr="008304D7">
        <w:rPr>
          <w:rFonts w:ascii="Times New Roman" w:hAnsi="Times New Roman" w:cs="Times New Roman"/>
          <w:b/>
          <w:sz w:val="24"/>
          <w:szCs w:val="28"/>
        </w:rPr>
        <w:t>ЕАЭС</w:t>
      </w:r>
      <w:r w:rsidRPr="008304D7">
        <w:rPr>
          <w:rFonts w:ascii="Times New Roman" w:hAnsi="Times New Roman" w:cs="Times New Roman"/>
          <w:sz w:val="24"/>
          <w:szCs w:val="20"/>
        </w:rPr>
        <w:t>, % к итогу</w:t>
      </w:r>
    </w:p>
    <w:p w:rsidR="008304D7" w:rsidRDefault="008304D7" w:rsidP="008304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4D7" w:rsidRDefault="008304D7" w:rsidP="008304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08">
        <w:rPr>
          <w:rFonts w:ascii="Times New Roman" w:hAnsi="Times New Roman" w:cs="Times New Roman"/>
          <w:sz w:val="28"/>
          <w:szCs w:val="28"/>
        </w:rPr>
        <w:t>Развитию подобного рода отношений препятствует множество факт</w:t>
      </w:r>
      <w:r w:rsidRPr="00FD2508">
        <w:rPr>
          <w:rFonts w:ascii="Times New Roman" w:hAnsi="Times New Roman" w:cs="Times New Roman"/>
          <w:sz w:val="28"/>
          <w:szCs w:val="28"/>
        </w:rPr>
        <w:t>о</w:t>
      </w:r>
      <w:r w:rsidRPr="00FD2508">
        <w:rPr>
          <w:rFonts w:ascii="Times New Roman" w:hAnsi="Times New Roman" w:cs="Times New Roman"/>
          <w:sz w:val="28"/>
          <w:szCs w:val="28"/>
        </w:rPr>
        <w:t>ров: удаленность контрагентов (</w:t>
      </w:r>
      <w:r w:rsidR="00B72A85">
        <w:rPr>
          <w:rFonts w:ascii="Times New Roman" w:hAnsi="Times New Roman" w:cs="Times New Roman"/>
          <w:sz w:val="28"/>
          <w:szCs w:val="28"/>
        </w:rPr>
        <w:t>3</w:t>
      </w:r>
      <w:r w:rsidRPr="00FD2508">
        <w:rPr>
          <w:rFonts w:ascii="Times New Roman" w:hAnsi="Times New Roman" w:cs="Times New Roman"/>
          <w:sz w:val="28"/>
          <w:szCs w:val="28"/>
        </w:rPr>
        <w:t>9%)</w:t>
      </w:r>
      <w:r w:rsidR="00B72A85">
        <w:rPr>
          <w:rFonts w:ascii="Times New Roman" w:hAnsi="Times New Roman" w:cs="Times New Roman"/>
          <w:sz w:val="28"/>
          <w:szCs w:val="28"/>
        </w:rPr>
        <w:t xml:space="preserve"> и</w:t>
      </w:r>
      <w:r w:rsidRPr="00FD2508">
        <w:rPr>
          <w:rFonts w:ascii="Times New Roman" w:hAnsi="Times New Roman" w:cs="Times New Roman"/>
          <w:sz w:val="28"/>
          <w:szCs w:val="28"/>
        </w:rPr>
        <w:t xml:space="preserve"> высокая 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8">
        <w:rPr>
          <w:rFonts w:ascii="Times New Roman" w:hAnsi="Times New Roman" w:cs="Times New Roman"/>
          <w:sz w:val="28"/>
          <w:szCs w:val="28"/>
        </w:rPr>
        <w:t>на рынке (</w:t>
      </w:r>
      <w:r w:rsidR="00B72A85">
        <w:rPr>
          <w:rFonts w:ascii="Times New Roman" w:hAnsi="Times New Roman" w:cs="Times New Roman"/>
          <w:sz w:val="28"/>
          <w:szCs w:val="28"/>
        </w:rPr>
        <w:t>30</w:t>
      </w:r>
      <w:r w:rsidRPr="00FD2508">
        <w:rPr>
          <w:rFonts w:ascii="Times New Roman" w:hAnsi="Times New Roman" w:cs="Times New Roman"/>
          <w:sz w:val="28"/>
          <w:szCs w:val="28"/>
        </w:rPr>
        <w:t>%; рис. 5).</w:t>
      </w:r>
    </w:p>
    <w:p w:rsidR="008304D7" w:rsidRDefault="008304D7" w:rsidP="008304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5140C8" wp14:editId="732F0262">
            <wp:extent cx="6020789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04D7" w:rsidRPr="008304D7" w:rsidRDefault="008304D7" w:rsidP="00830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304D7">
        <w:rPr>
          <w:rFonts w:ascii="Times New Roman" w:hAnsi="Times New Roman" w:cs="Times New Roman"/>
          <w:sz w:val="24"/>
          <w:szCs w:val="20"/>
        </w:rPr>
        <w:t xml:space="preserve">Рис. 5. </w:t>
      </w:r>
      <w:r w:rsidRPr="008304D7">
        <w:rPr>
          <w:rFonts w:ascii="Times New Roman" w:hAnsi="Times New Roman" w:cs="Times New Roman"/>
          <w:b/>
          <w:sz w:val="24"/>
          <w:szCs w:val="20"/>
        </w:rPr>
        <w:t>Препятствия развитию торгово-экономических отношений между</w:t>
      </w:r>
      <w:r w:rsidR="008508D4">
        <w:rPr>
          <w:rFonts w:ascii="Times New Roman" w:hAnsi="Times New Roman" w:cs="Times New Roman"/>
          <w:b/>
          <w:sz w:val="24"/>
          <w:szCs w:val="20"/>
        </w:rPr>
        <w:br/>
      </w:r>
      <w:r w:rsidRPr="008304D7">
        <w:rPr>
          <w:rFonts w:ascii="Times New Roman" w:hAnsi="Times New Roman" w:cs="Times New Roman"/>
          <w:b/>
          <w:sz w:val="24"/>
          <w:szCs w:val="20"/>
        </w:rPr>
        <w:t xml:space="preserve">предприятиями </w:t>
      </w:r>
      <w:r w:rsidR="008508D4" w:rsidRPr="008304D7">
        <w:rPr>
          <w:rFonts w:ascii="Times New Roman" w:hAnsi="Times New Roman" w:cs="Times New Roman"/>
          <w:b/>
          <w:sz w:val="24"/>
          <w:szCs w:val="28"/>
        </w:rPr>
        <w:t>ЕАЭС</w:t>
      </w:r>
      <w:r w:rsidRPr="008304D7">
        <w:rPr>
          <w:rFonts w:ascii="Times New Roman" w:hAnsi="Times New Roman" w:cs="Times New Roman"/>
          <w:sz w:val="24"/>
          <w:szCs w:val="20"/>
        </w:rPr>
        <w:t>, % к итогу</w:t>
      </w:r>
    </w:p>
    <w:p w:rsidR="008304D7" w:rsidRDefault="008304D7" w:rsidP="008304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Для развития межрегиональных торгово-экономических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о</w:t>
      </w:r>
      <w:r w:rsidRPr="008508D4">
        <w:rPr>
          <w:rFonts w:ascii="Times New Roman" w:hAnsi="Times New Roman" w:cs="Times New Roman"/>
          <w:sz w:val="28"/>
          <w:szCs w:val="28"/>
        </w:rPr>
        <w:t>р</w:t>
      </w:r>
      <w:r w:rsidRPr="008508D4">
        <w:rPr>
          <w:rFonts w:ascii="Times New Roman" w:hAnsi="Times New Roman" w:cs="Times New Roman"/>
          <w:sz w:val="28"/>
          <w:szCs w:val="28"/>
        </w:rPr>
        <w:t>ганам власти следует принять следующие меры:</w:t>
      </w:r>
    </w:p>
    <w:p w:rsidR="00B72A85" w:rsidRPr="00B72A85" w:rsidRDefault="00B72A85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2A85">
        <w:rPr>
          <w:rFonts w:ascii="Times New Roman" w:hAnsi="Times New Roman" w:cs="Times New Roman"/>
          <w:sz w:val="28"/>
          <w:szCs w:val="28"/>
        </w:rPr>
        <w:t>оздать систему продвижения продукции на рынки других регионов (организация выставок, ярмарок, презентаций, продвижение региональных брендов и торговых марок и т.д.</w:t>
      </w:r>
      <w:r>
        <w:rPr>
          <w:rFonts w:ascii="Times New Roman" w:hAnsi="Times New Roman" w:cs="Times New Roman"/>
          <w:sz w:val="28"/>
          <w:szCs w:val="28"/>
        </w:rPr>
        <w:t>; 41,8%</w:t>
      </w:r>
      <w:r w:rsidRPr="00B72A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85" w:rsidRPr="00B72A85" w:rsidRDefault="00B72A85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</w:t>
      </w:r>
      <w:r w:rsidRPr="00B72A85">
        <w:rPr>
          <w:rFonts w:ascii="Times New Roman" w:hAnsi="Times New Roman" w:cs="Times New Roman"/>
          <w:sz w:val="28"/>
          <w:szCs w:val="28"/>
        </w:rPr>
        <w:t>оздать единый государственный информационный портал в сфере межрегионального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(40,3%);</w:t>
      </w:r>
    </w:p>
    <w:p w:rsidR="00B72A85" w:rsidRPr="00B72A85" w:rsidRDefault="00B72A85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</w:t>
      </w:r>
      <w:r w:rsidRPr="00B72A85">
        <w:rPr>
          <w:rFonts w:ascii="Times New Roman" w:hAnsi="Times New Roman" w:cs="Times New Roman"/>
          <w:sz w:val="28"/>
          <w:szCs w:val="28"/>
        </w:rPr>
        <w:t>рганизовать проведение мероприятий в целях налаживания деловых контактов</w:t>
      </w:r>
      <w:r>
        <w:rPr>
          <w:rFonts w:ascii="Times New Roman" w:hAnsi="Times New Roman" w:cs="Times New Roman"/>
          <w:sz w:val="28"/>
          <w:szCs w:val="28"/>
        </w:rPr>
        <w:t xml:space="preserve"> (23,9%);</w:t>
      </w:r>
    </w:p>
    <w:p w:rsidR="00B72A85" w:rsidRPr="00B72A85" w:rsidRDefault="00B72A85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</w:t>
      </w:r>
      <w:r w:rsidRPr="00B72A85">
        <w:rPr>
          <w:rFonts w:ascii="Times New Roman" w:hAnsi="Times New Roman" w:cs="Times New Roman"/>
          <w:sz w:val="28"/>
          <w:szCs w:val="28"/>
        </w:rPr>
        <w:t>рганизовать межрегиональные институты развития инвестиционной направленности (инвестиционные, страховые, венчурные фонды, совместные инжиниринговые центры, межрегиональные банки развития</w:t>
      </w:r>
      <w:r>
        <w:rPr>
          <w:rFonts w:ascii="Times New Roman" w:hAnsi="Times New Roman" w:cs="Times New Roman"/>
          <w:sz w:val="28"/>
          <w:szCs w:val="28"/>
        </w:rPr>
        <w:t>; 11,9%</w:t>
      </w:r>
      <w:r w:rsidRPr="00B72A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85" w:rsidRDefault="00B72A85" w:rsidP="00B7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</w:t>
      </w:r>
      <w:r w:rsidRPr="00B72A85">
        <w:rPr>
          <w:rFonts w:ascii="Times New Roman" w:hAnsi="Times New Roman" w:cs="Times New Roman"/>
          <w:sz w:val="28"/>
          <w:szCs w:val="28"/>
        </w:rPr>
        <w:t>рганизовать проведение обучающих семинаров для сотрудников о</w:t>
      </w:r>
      <w:r w:rsidRPr="00B72A85">
        <w:rPr>
          <w:rFonts w:ascii="Times New Roman" w:hAnsi="Times New Roman" w:cs="Times New Roman"/>
          <w:sz w:val="28"/>
          <w:szCs w:val="28"/>
        </w:rPr>
        <w:t>р</w:t>
      </w:r>
      <w:r w:rsidRPr="00B72A85">
        <w:rPr>
          <w:rFonts w:ascii="Times New Roman" w:hAnsi="Times New Roman" w:cs="Times New Roman"/>
          <w:sz w:val="28"/>
          <w:szCs w:val="28"/>
        </w:rPr>
        <w:t>ганов исполнительной власти, занимающихся вопросами межрегионального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(1,5%).</w:t>
      </w:r>
    </w:p>
    <w:p w:rsid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Выполнение соответствующих рекомендаций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ра</w:t>
      </w:r>
      <w:r w:rsidRPr="008508D4">
        <w:rPr>
          <w:rFonts w:ascii="Times New Roman" w:hAnsi="Times New Roman" w:cs="Times New Roman"/>
          <w:sz w:val="28"/>
          <w:szCs w:val="28"/>
        </w:rPr>
        <w:t>з</w:t>
      </w:r>
      <w:r w:rsidRPr="008508D4">
        <w:rPr>
          <w:rFonts w:ascii="Times New Roman" w:hAnsi="Times New Roman" w:cs="Times New Roman"/>
          <w:sz w:val="28"/>
          <w:szCs w:val="28"/>
        </w:rPr>
        <w:t xml:space="preserve">витию торгово-экономических отношений </w:t>
      </w:r>
      <w:r>
        <w:rPr>
          <w:rFonts w:ascii="Times New Roman" w:hAnsi="Times New Roman" w:cs="Times New Roman"/>
          <w:sz w:val="28"/>
          <w:szCs w:val="28"/>
        </w:rPr>
        <w:t>в рамках ЕАЭС</w:t>
      </w:r>
      <w:r w:rsidRPr="008508D4">
        <w:rPr>
          <w:rFonts w:ascii="Times New Roman" w:hAnsi="Times New Roman" w:cs="Times New Roman"/>
          <w:sz w:val="28"/>
          <w:szCs w:val="28"/>
        </w:rPr>
        <w:t>, формированию достаточно мощной экономической группировки и повышению экономич</w:t>
      </w:r>
      <w:r w:rsidRPr="008508D4">
        <w:rPr>
          <w:rFonts w:ascii="Times New Roman" w:hAnsi="Times New Roman" w:cs="Times New Roman"/>
          <w:sz w:val="28"/>
          <w:szCs w:val="28"/>
        </w:rPr>
        <w:t>е</w:t>
      </w:r>
      <w:r w:rsidRPr="008508D4">
        <w:rPr>
          <w:rFonts w:ascii="Times New Roman" w:hAnsi="Times New Roman" w:cs="Times New Roman"/>
          <w:sz w:val="28"/>
          <w:szCs w:val="28"/>
        </w:rPr>
        <w:t>ской безопасности.</w:t>
      </w:r>
    </w:p>
    <w:p w:rsidR="008508D4" w:rsidRDefault="008508D4" w:rsidP="00850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1. Межрегиональное сотрудничество как фактор интеграционных пр</w:t>
      </w:r>
      <w:r w:rsidRPr="008508D4">
        <w:rPr>
          <w:rFonts w:ascii="Times New Roman" w:hAnsi="Times New Roman" w:cs="Times New Roman"/>
          <w:sz w:val="28"/>
          <w:szCs w:val="28"/>
        </w:rPr>
        <w:t>о</w:t>
      </w:r>
      <w:r w:rsidRPr="008508D4">
        <w:rPr>
          <w:rFonts w:ascii="Times New Roman" w:hAnsi="Times New Roman" w:cs="Times New Roman"/>
          <w:sz w:val="28"/>
          <w:szCs w:val="28"/>
        </w:rPr>
        <w:t>цессов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 xml:space="preserve">Республики Беларусь [Текст] / Т.В. Ускова, С.М. Дедков, Т.Г. Смирнова, Р.Ю. </w:t>
      </w:r>
      <w:proofErr w:type="spellStart"/>
      <w:r w:rsidRPr="008508D4">
        <w:rPr>
          <w:rFonts w:ascii="Times New Roman" w:hAnsi="Times New Roman" w:cs="Times New Roman"/>
          <w:sz w:val="28"/>
          <w:szCs w:val="28"/>
        </w:rPr>
        <w:t>Селименков</w:t>
      </w:r>
      <w:proofErr w:type="spellEnd"/>
      <w:r w:rsidRPr="00850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8508D4">
        <w:rPr>
          <w:rFonts w:ascii="Times New Roman" w:hAnsi="Times New Roman" w:cs="Times New Roman"/>
          <w:sz w:val="28"/>
          <w:szCs w:val="28"/>
        </w:rPr>
        <w:t>Асанович</w:t>
      </w:r>
      <w:proofErr w:type="spellEnd"/>
      <w:r w:rsidRPr="008508D4">
        <w:rPr>
          <w:rFonts w:ascii="Times New Roman" w:hAnsi="Times New Roman" w:cs="Times New Roman"/>
          <w:sz w:val="28"/>
          <w:szCs w:val="28"/>
        </w:rPr>
        <w:t>. – Вологда: ИСЭРТ РАН, 2011. – 176 с.</w:t>
      </w: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2. Межрегиональный товарообмен Вологодской области: стат. сборник [Текст] / Вологдастат. – Вологда, 201</w:t>
      </w:r>
      <w:r w:rsidR="00B72A85">
        <w:rPr>
          <w:rFonts w:ascii="Times New Roman" w:hAnsi="Times New Roman" w:cs="Times New Roman"/>
          <w:sz w:val="28"/>
          <w:szCs w:val="28"/>
        </w:rPr>
        <w:t>5</w:t>
      </w:r>
      <w:r w:rsidRPr="008508D4">
        <w:rPr>
          <w:rFonts w:ascii="Times New Roman" w:hAnsi="Times New Roman" w:cs="Times New Roman"/>
          <w:sz w:val="28"/>
          <w:szCs w:val="28"/>
        </w:rPr>
        <w:t>. – 98 с.</w:t>
      </w: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3. Путин, В.В. О наших экономических задачах [Текст] / В.В. Путин // Ведомости.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2012. – 30 января. – № 15(3029).</w:t>
      </w: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 xml:space="preserve">4. Смирнова, Т.Г. Проблемы восстановительного роста обрабатывающей промышленности экспортоориентированного региона (по материалам опроса </w:t>
      </w:r>
      <w:r w:rsidRPr="008508D4">
        <w:rPr>
          <w:rFonts w:ascii="Times New Roman" w:hAnsi="Times New Roman" w:cs="Times New Roman"/>
          <w:sz w:val="28"/>
          <w:szCs w:val="28"/>
        </w:rPr>
        <w:lastRenderedPageBreak/>
        <w:t>промышленных предприятий Вологодской области) [Текст] / Т.Г. Смирнова, Е.В. Лукин // Экономика и предпринимательство. – 2013. – № 4. – С. 162-173.</w:t>
      </w:r>
    </w:p>
    <w:p w:rsidR="008508D4" w:rsidRPr="008508D4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5. Смирнова, Т.Г. Роль экономического взаимодействия территорий в развитии промышленности (на примере Вологодской области) [Текст] / Т.Г. Смирнова, Е.В. Лукин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Проблемы развития территории. – 2011.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D4">
        <w:rPr>
          <w:rFonts w:ascii="Times New Roman" w:hAnsi="Times New Roman" w:cs="Times New Roman"/>
          <w:sz w:val="28"/>
          <w:szCs w:val="28"/>
        </w:rPr>
        <w:t>(54). – С. 14-24.</w:t>
      </w:r>
    </w:p>
    <w:p w:rsidR="002B54AA" w:rsidRDefault="008508D4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D4">
        <w:rPr>
          <w:rFonts w:ascii="Times New Roman" w:hAnsi="Times New Roman" w:cs="Times New Roman"/>
          <w:sz w:val="28"/>
          <w:szCs w:val="28"/>
        </w:rPr>
        <w:t>6. Ускова, Т.В. Межрегиональное взаимодействие как фактор роста эк</w:t>
      </w:r>
      <w:r w:rsidRPr="008508D4">
        <w:rPr>
          <w:rFonts w:ascii="Times New Roman" w:hAnsi="Times New Roman" w:cs="Times New Roman"/>
          <w:sz w:val="28"/>
          <w:szCs w:val="28"/>
        </w:rPr>
        <w:t>о</w:t>
      </w:r>
      <w:r w:rsidRPr="008508D4">
        <w:rPr>
          <w:rFonts w:ascii="Times New Roman" w:hAnsi="Times New Roman" w:cs="Times New Roman"/>
          <w:sz w:val="28"/>
          <w:szCs w:val="28"/>
        </w:rPr>
        <w:t>номики: препринт [Текст] / Т.В. Ускова, Е.В. Лукин. – Вологда: ИСЭРТ РАН, 2013. – 76 с.</w:t>
      </w:r>
    </w:p>
    <w:p w:rsidR="00A74472" w:rsidRDefault="00A74472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472" w:rsidRDefault="00A74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4D7" w:rsidRDefault="002B54AA" w:rsidP="00850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авторе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B54AA" w:rsidTr="002B54AA">
        <w:tc>
          <w:tcPr>
            <w:tcW w:w="2943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6628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Евгений Владимирович</w:t>
            </w:r>
          </w:p>
        </w:tc>
      </w:tr>
      <w:tr w:rsidR="002B54AA" w:rsidTr="002B54AA">
        <w:tc>
          <w:tcPr>
            <w:tcW w:w="2943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</w:p>
        </w:tc>
        <w:tc>
          <w:tcPr>
            <w:tcW w:w="6628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Институт социально-экономического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территорий РАН</w:t>
            </w:r>
          </w:p>
        </w:tc>
      </w:tr>
      <w:tr w:rsidR="009E4A82" w:rsidTr="002B54AA">
        <w:tc>
          <w:tcPr>
            <w:tcW w:w="2943" w:type="dxa"/>
          </w:tcPr>
          <w:p w:rsidR="009E4A82" w:rsidRDefault="009E4A82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628" w:type="dxa"/>
          </w:tcPr>
          <w:p w:rsidR="009E4A82" w:rsidRDefault="009E4A82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</w:p>
        </w:tc>
      </w:tr>
      <w:tr w:rsidR="002B54AA" w:rsidTr="002B54AA">
        <w:tc>
          <w:tcPr>
            <w:tcW w:w="2943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6628" w:type="dxa"/>
          </w:tcPr>
          <w:p w:rsidR="002B54AA" w:rsidRDefault="009E4A82" w:rsidP="009E4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зав. лабораторией, н</w:t>
            </w:r>
            <w:r w:rsidR="002B54AA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</w:tr>
      <w:tr w:rsidR="002B54AA" w:rsidTr="002B54AA">
        <w:tc>
          <w:tcPr>
            <w:tcW w:w="2943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  <w:tc>
          <w:tcPr>
            <w:tcW w:w="6628" w:type="dxa"/>
          </w:tcPr>
          <w:p w:rsidR="002B54AA" w:rsidRPr="009E4A82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lukin</w:t>
            </w:r>
            <w:proofErr w:type="spellEnd"/>
            <w:r w:rsidRPr="009E4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proofErr w:type="spellEnd"/>
            <w:r w:rsidRPr="009E4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B54AA" w:rsidTr="002B54AA">
        <w:tc>
          <w:tcPr>
            <w:tcW w:w="2943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SPIN</w:t>
            </w:r>
          </w:p>
        </w:tc>
        <w:tc>
          <w:tcPr>
            <w:tcW w:w="6628" w:type="dxa"/>
          </w:tcPr>
          <w:p w:rsidR="002B54AA" w:rsidRDefault="002B54AA" w:rsidP="002B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A">
              <w:rPr>
                <w:rFonts w:ascii="Times New Roman" w:hAnsi="Times New Roman" w:cs="Times New Roman"/>
                <w:sz w:val="28"/>
                <w:szCs w:val="28"/>
              </w:rPr>
              <w:t>7220-9768</w:t>
            </w:r>
          </w:p>
        </w:tc>
      </w:tr>
    </w:tbl>
    <w:p w:rsidR="002B54AA" w:rsidRPr="00BE1D32" w:rsidRDefault="002B54AA" w:rsidP="002B54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54AA" w:rsidRPr="00BE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82" w:rsidRDefault="009E4A82" w:rsidP="008304D7">
      <w:pPr>
        <w:spacing w:after="0" w:line="240" w:lineRule="auto"/>
      </w:pPr>
      <w:r>
        <w:separator/>
      </w:r>
    </w:p>
  </w:endnote>
  <w:endnote w:type="continuationSeparator" w:id="0">
    <w:p w:rsidR="009E4A82" w:rsidRDefault="009E4A82" w:rsidP="008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82" w:rsidRDefault="009E4A82" w:rsidP="008304D7">
      <w:pPr>
        <w:spacing w:after="0" w:line="240" w:lineRule="auto"/>
      </w:pPr>
      <w:r>
        <w:separator/>
      </w:r>
    </w:p>
  </w:footnote>
  <w:footnote w:type="continuationSeparator" w:id="0">
    <w:p w:rsidR="009E4A82" w:rsidRDefault="009E4A82" w:rsidP="0083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1B"/>
    <w:rsid w:val="002B54AA"/>
    <w:rsid w:val="006724BA"/>
    <w:rsid w:val="00774F1B"/>
    <w:rsid w:val="008304D7"/>
    <w:rsid w:val="008508D4"/>
    <w:rsid w:val="009E4A82"/>
    <w:rsid w:val="009E5427"/>
    <w:rsid w:val="00A452C6"/>
    <w:rsid w:val="00A74472"/>
    <w:rsid w:val="00B72A85"/>
    <w:rsid w:val="00BE1D32"/>
    <w:rsid w:val="00FB71F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4D7"/>
  </w:style>
  <w:style w:type="paragraph" w:styleId="a7">
    <w:name w:val="footer"/>
    <w:basedOn w:val="a"/>
    <w:link w:val="a8"/>
    <w:uiPriority w:val="99"/>
    <w:unhideWhenUsed/>
    <w:rsid w:val="0083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4D7"/>
  </w:style>
  <w:style w:type="character" w:customStyle="1" w:styleId="apple-converted-space">
    <w:name w:val="apple-converted-space"/>
    <w:basedOn w:val="a0"/>
    <w:rsid w:val="002B54AA"/>
  </w:style>
  <w:style w:type="table" w:styleId="a9">
    <w:name w:val="Table Grid"/>
    <w:basedOn w:val="a1"/>
    <w:uiPriority w:val="59"/>
    <w:rsid w:val="002B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4D7"/>
  </w:style>
  <w:style w:type="paragraph" w:styleId="a7">
    <w:name w:val="footer"/>
    <w:basedOn w:val="a"/>
    <w:link w:val="a8"/>
    <w:uiPriority w:val="99"/>
    <w:unhideWhenUsed/>
    <w:rsid w:val="0083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4D7"/>
  </w:style>
  <w:style w:type="character" w:customStyle="1" w:styleId="apple-converted-space">
    <w:name w:val="apple-converted-space"/>
    <w:basedOn w:val="a0"/>
    <w:rsid w:val="002B54AA"/>
  </w:style>
  <w:style w:type="table" w:styleId="a9">
    <w:name w:val="Table Grid"/>
    <w:basedOn w:val="a1"/>
    <w:uiPriority w:val="59"/>
    <w:rsid w:val="002B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Word]Лист1'!$B$4</c:f>
              <c:strCache>
                <c:ptCount val="1"/>
                <c:pt idx="0">
                  <c:v>ВРП, млрд. руб.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Word]Лист1'!$C$3:$L$3</c:f>
              <c:strCache>
                <c:ptCount val="10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</c:strCache>
            </c:strRef>
          </c:cat>
          <c:val>
            <c:numRef>
              <c:f>'[Диаграмма в Microsoft Word]Лист1'!$C$4:$L$4</c:f>
              <c:numCache>
                <c:formatCode>0.0</c:formatCode>
                <c:ptCount val="10"/>
                <c:pt idx="0">
                  <c:v>193.96600000000001</c:v>
                </c:pt>
                <c:pt idx="1">
                  <c:v>201.93899999999999</c:v>
                </c:pt>
                <c:pt idx="2">
                  <c:v>243.33600000000001</c:v>
                </c:pt>
                <c:pt idx="3">
                  <c:v>294.92599999999999</c:v>
                </c:pt>
                <c:pt idx="4">
                  <c:v>213.39699999999999</c:v>
                </c:pt>
                <c:pt idx="5">
                  <c:v>262.43299999999999</c:v>
                </c:pt>
                <c:pt idx="6">
                  <c:v>323.06799999999998</c:v>
                </c:pt>
                <c:pt idx="7">
                  <c:v>355.291</c:v>
                </c:pt>
                <c:pt idx="8">
                  <c:v>346.22800000000001</c:v>
                </c:pt>
                <c:pt idx="9">
                  <c:v>388.40300000000002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76928"/>
        <c:axId val="134478464"/>
      </c:lineChart>
      <c:lineChart>
        <c:grouping val="standard"/>
        <c:varyColors val="0"/>
        <c:ser>
          <c:idx val="1"/>
          <c:order val="1"/>
          <c:tx>
            <c:strRef>
              <c:f>'[Диаграмма в Microsoft Word]Лист1'!$B$5</c:f>
              <c:strCache>
                <c:ptCount val="1"/>
                <c:pt idx="0">
                  <c:v>Экспорт, млрд. долл. США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Word]Лист1'!$C$3:$L$3</c:f>
              <c:strCache>
                <c:ptCount val="10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</c:strCache>
            </c:strRef>
          </c:cat>
          <c:val>
            <c:numRef>
              <c:f>'[Диаграмма в Microsoft Word]Лист1'!$C$5:$L$5</c:f>
              <c:numCache>
                <c:formatCode>General</c:formatCode>
                <c:ptCount val="10"/>
                <c:pt idx="0">
                  <c:v>3.2</c:v>
                </c:pt>
                <c:pt idx="1">
                  <c:v>2.6</c:v>
                </c:pt>
                <c:pt idx="2">
                  <c:v>3.2</c:v>
                </c:pt>
                <c:pt idx="3" formatCode="0.0">
                  <c:v>4.5503</c:v>
                </c:pt>
                <c:pt idx="4" formatCode="0.0">
                  <c:v>2.3407</c:v>
                </c:pt>
                <c:pt idx="5" formatCode="0.0">
                  <c:v>3.6395999999999997</c:v>
                </c:pt>
                <c:pt idx="6" formatCode="0.0">
                  <c:v>4.3925000000000001</c:v>
                </c:pt>
                <c:pt idx="7" formatCode="0.0">
                  <c:v>4.4336000000000002</c:v>
                </c:pt>
                <c:pt idx="8" formatCode="0.0">
                  <c:v>4.1063000000000001</c:v>
                </c:pt>
                <c:pt idx="9" formatCode="0.0">
                  <c:v>3.5383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46208"/>
        <c:axId val="146444672"/>
      </c:lineChart>
      <c:catAx>
        <c:axId val="1344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78464"/>
        <c:crosses val="autoZero"/>
        <c:auto val="1"/>
        <c:lblAlgn val="ctr"/>
        <c:lblOffset val="100"/>
        <c:noMultiLvlLbl val="0"/>
      </c:catAx>
      <c:valAx>
        <c:axId val="13447846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34476928"/>
        <c:crosses val="autoZero"/>
        <c:crossBetween val="between"/>
      </c:valAx>
      <c:valAx>
        <c:axId val="1464446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46446208"/>
        <c:crosses val="max"/>
        <c:crossBetween val="between"/>
      </c:valAx>
      <c:catAx>
        <c:axId val="146446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4644467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3985713482684514"/>
          <c:y val="0.65702354913969085"/>
          <c:w val="0.27604612850082372"/>
          <c:h val="0.1450678040244969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Российский рынок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Лист1!$C$22:$V$23</c:f>
              <c:multiLvlStrCache>
                <c:ptCount val="20"/>
                <c:lvl>
                  <c:pt idx="0">
                    <c:v>I квартал</c:v>
                  </c:pt>
                  <c:pt idx="1">
                    <c:v>II квартал</c:v>
                  </c:pt>
                  <c:pt idx="2">
                    <c:v>III квартал</c:v>
                  </c:pt>
                  <c:pt idx="3">
                    <c:v>IV квартал</c:v>
                  </c:pt>
                  <c:pt idx="4">
                    <c:v>I квартал</c:v>
                  </c:pt>
                  <c:pt idx="5">
                    <c:v>II квартал</c:v>
                  </c:pt>
                  <c:pt idx="6">
                    <c:v>III квартал</c:v>
                  </c:pt>
                  <c:pt idx="7">
                    <c:v>IV квартал</c:v>
                  </c:pt>
                  <c:pt idx="8">
                    <c:v>I квартал</c:v>
                  </c:pt>
                  <c:pt idx="9">
                    <c:v>II квартал</c:v>
                  </c:pt>
                  <c:pt idx="10">
                    <c:v>III квартал</c:v>
                  </c:pt>
                  <c:pt idx="11">
                    <c:v>IV квартал</c:v>
                  </c:pt>
                  <c:pt idx="12">
                    <c:v>I квартал</c:v>
                  </c:pt>
                  <c:pt idx="13">
                    <c:v>II квартал</c:v>
                  </c:pt>
                  <c:pt idx="14">
                    <c:v>III квартал</c:v>
                  </c:pt>
                  <c:pt idx="15">
                    <c:v>IV квартал</c:v>
                  </c:pt>
                  <c:pt idx="16">
                    <c:v>I квартал</c:v>
                  </c:pt>
                  <c:pt idx="17">
                    <c:v>II квартал</c:v>
                  </c:pt>
                  <c:pt idx="18">
                    <c:v>III квартал</c:v>
                  </c:pt>
                  <c:pt idx="19">
                    <c:v>IV квартал</c:v>
                  </c:pt>
                </c:lvl>
                <c:lvl>
                  <c:pt idx="0">
                    <c:v>2008 г.</c:v>
                  </c:pt>
                  <c:pt idx="4">
                    <c:v>2009 г.</c:v>
                  </c:pt>
                  <c:pt idx="8">
                    <c:v>2010 г.</c:v>
                  </c:pt>
                  <c:pt idx="12">
                    <c:v>2011 г.</c:v>
                  </c:pt>
                  <c:pt idx="16">
                    <c:v>2012 г.</c:v>
                  </c:pt>
                </c:lvl>
              </c:multiLvlStrCache>
            </c:multiLvlStrRef>
          </c:cat>
          <c:val>
            <c:numRef>
              <c:f>Лист1!$C$24:$V$24</c:f>
              <c:numCache>
                <c:formatCode>General</c:formatCode>
                <c:ptCount val="20"/>
                <c:pt idx="0">
                  <c:v>100</c:v>
                </c:pt>
                <c:pt idx="1">
                  <c:v>113</c:v>
                </c:pt>
                <c:pt idx="2">
                  <c:v>120</c:v>
                </c:pt>
                <c:pt idx="3">
                  <c:v>150</c:v>
                </c:pt>
                <c:pt idx="4">
                  <c:v>134</c:v>
                </c:pt>
                <c:pt idx="5">
                  <c:v>108</c:v>
                </c:pt>
                <c:pt idx="6">
                  <c:v>98</c:v>
                </c:pt>
                <c:pt idx="7">
                  <c:v>105</c:v>
                </c:pt>
                <c:pt idx="8">
                  <c:v>106</c:v>
                </c:pt>
                <c:pt idx="9">
                  <c:v>110</c:v>
                </c:pt>
                <c:pt idx="10">
                  <c:v>127</c:v>
                </c:pt>
                <c:pt idx="11">
                  <c:v>127</c:v>
                </c:pt>
                <c:pt idx="12">
                  <c:v>144</c:v>
                </c:pt>
                <c:pt idx="13">
                  <c:v>146</c:v>
                </c:pt>
                <c:pt idx="14">
                  <c:v>142</c:v>
                </c:pt>
                <c:pt idx="15">
                  <c:v>143</c:v>
                </c:pt>
                <c:pt idx="16">
                  <c:v>140</c:v>
                </c:pt>
                <c:pt idx="17">
                  <c:v>135</c:v>
                </c:pt>
                <c:pt idx="18">
                  <c:v>128</c:v>
                </c:pt>
                <c:pt idx="19">
                  <c:v>120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Мировой рынок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squar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Лист1!$C$22:$V$23</c:f>
              <c:multiLvlStrCache>
                <c:ptCount val="20"/>
                <c:lvl>
                  <c:pt idx="0">
                    <c:v>I квартал</c:v>
                  </c:pt>
                  <c:pt idx="1">
                    <c:v>II квартал</c:v>
                  </c:pt>
                  <c:pt idx="2">
                    <c:v>III квартал</c:v>
                  </c:pt>
                  <c:pt idx="3">
                    <c:v>IV квартал</c:v>
                  </c:pt>
                  <c:pt idx="4">
                    <c:v>I квартал</c:v>
                  </c:pt>
                  <c:pt idx="5">
                    <c:v>II квартал</c:v>
                  </c:pt>
                  <c:pt idx="6">
                    <c:v>III квартал</c:v>
                  </c:pt>
                  <c:pt idx="7">
                    <c:v>IV квартал</c:v>
                  </c:pt>
                  <c:pt idx="8">
                    <c:v>I квартал</c:v>
                  </c:pt>
                  <c:pt idx="9">
                    <c:v>II квартал</c:v>
                  </c:pt>
                  <c:pt idx="10">
                    <c:v>III квартал</c:v>
                  </c:pt>
                  <c:pt idx="11">
                    <c:v>IV квартал</c:v>
                  </c:pt>
                  <c:pt idx="12">
                    <c:v>I квартал</c:v>
                  </c:pt>
                  <c:pt idx="13">
                    <c:v>II квартал</c:v>
                  </c:pt>
                  <c:pt idx="14">
                    <c:v>III квартал</c:v>
                  </c:pt>
                  <c:pt idx="15">
                    <c:v>IV квартал</c:v>
                  </c:pt>
                  <c:pt idx="16">
                    <c:v>I квартал</c:v>
                  </c:pt>
                  <c:pt idx="17">
                    <c:v>II квартал</c:v>
                  </c:pt>
                  <c:pt idx="18">
                    <c:v>III квартал</c:v>
                  </c:pt>
                  <c:pt idx="19">
                    <c:v>IV квартал</c:v>
                  </c:pt>
                </c:lvl>
                <c:lvl>
                  <c:pt idx="0">
                    <c:v>2008 г.</c:v>
                  </c:pt>
                  <c:pt idx="4">
                    <c:v>2009 г.</c:v>
                  </c:pt>
                  <c:pt idx="8">
                    <c:v>2010 г.</c:v>
                  </c:pt>
                  <c:pt idx="12">
                    <c:v>2011 г.</c:v>
                  </c:pt>
                  <c:pt idx="16">
                    <c:v>2012 г.</c:v>
                  </c:pt>
                </c:lvl>
              </c:multiLvlStrCache>
            </c:multiLvlStrRef>
          </c:cat>
          <c:val>
            <c:numRef>
              <c:f>Лист1!$C$25:$V$25</c:f>
              <c:numCache>
                <c:formatCode>General</c:formatCode>
                <c:ptCount val="20"/>
                <c:pt idx="0">
                  <c:v>100</c:v>
                </c:pt>
                <c:pt idx="1">
                  <c:v>142</c:v>
                </c:pt>
                <c:pt idx="2">
                  <c:v>171</c:v>
                </c:pt>
                <c:pt idx="3">
                  <c:v>109</c:v>
                </c:pt>
                <c:pt idx="4">
                  <c:v>74</c:v>
                </c:pt>
                <c:pt idx="5">
                  <c:v>63</c:v>
                </c:pt>
                <c:pt idx="6">
                  <c:v>75</c:v>
                </c:pt>
                <c:pt idx="7">
                  <c:v>81</c:v>
                </c:pt>
                <c:pt idx="8">
                  <c:v>83</c:v>
                </c:pt>
                <c:pt idx="9">
                  <c:v>100</c:v>
                </c:pt>
                <c:pt idx="10">
                  <c:v>91</c:v>
                </c:pt>
                <c:pt idx="11">
                  <c:v>89</c:v>
                </c:pt>
                <c:pt idx="12">
                  <c:v>115</c:v>
                </c:pt>
                <c:pt idx="13">
                  <c:v>108</c:v>
                </c:pt>
                <c:pt idx="14">
                  <c:v>103</c:v>
                </c:pt>
                <c:pt idx="15">
                  <c:v>96</c:v>
                </c:pt>
                <c:pt idx="16">
                  <c:v>90</c:v>
                </c:pt>
                <c:pt idx="17">
                  <c:v>94</c:v>
                </c:pt>
                <c:pt idx="18">
                  <c:v>81</c:v>
                </c:pt>
                <c:pt idx="19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876928"/>
        <c:axId val="112882816"/>
      </c:lineChart>
      <c:catAx>
        <c:axId val="1128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82816"/>
        <c:crosses val="autoZero"/>
        <c:auto val="1"/>
        <c:lblAlgn val="ctr"/>
        <c:lblOffset val="100"/>
        <c:noMultiLvlLbl val="0"/>
      </c:catAx>
      <c:valAx>
        <c:axId val="112882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87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4391281233387"/>
          <c:y val="0.52931794983960334"/>
          <c:w val="0.21386496544391281"/>
          <c:h val="0.1450678040244969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'[Диаграмма в Microsoft Word]Лист1'!$B$5</c:f>
              <c:strCache>
                <c:ptCount val="1"/>
                <c:pt idx="0">
                  <c:v>Экспорт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Word]Лист1'!$C$42:$Z$42</c:f>
              <c:strCache>
                <c:ptCount val="24"/>
                <c:pt idx="0">
                  <c:v>1991 г.</c:v>
                </c:pt>
                <c:pt idx="1">
                  <c:v>1992 г.</c:v>
                </c:pt>
                <c:pt idx="2">
                  <c:v>1993 г.</c:v>
                </c:pt>
                <c:pt idx="3">
                  <c:v>1994 г.</c:v>
                </c:pt>
                <c:pt idx="4">
                  <c:v>1995 г.</c:v>
                </c:pt>
                <c:pt idx="5">
                  <c:v>1996 г.</c:v>
                </c:pt>
                <c:pt idx="6">
                  <c:v>1997 г.</c:v>
                </c:pt>
                <c:pt idx="7">
                  <c:v>1998 г.</c:v>
                </c:pt>
                <c:pt idx="8">
                  <c:v>1999 г.</c:v>
                </c:pt>
                <c:pt idx="9">
                  <c:v>2000 г.</c:v>
                </c:pt>
                <c:pt idx="10">
                  <c:v>2001 г.</c:v>
                </c:pt>
                <c:pt idx="11">
                  <c:v>2002 г.</c:v>
                </c:pt>
                <c:pt idx="12">
                  <c:v>2003 г.</c:v>
                </c:pt>
                <c:pt idx="13">
                  <c:v>2004 г.</c:v>
                </c:pt>
                <c:pt idx="14">
                  <c:v>2005 г.</c:v>
                </c:pt>
                <c:pt idx="15">
                  <c:v>2006 г.</c:v>
                </c:pt>
                <c:pt idx="16">
                  <c:v>2007 г.</c:v>
                </c:pt>
                <c:pt idx="17">
                  <c:v>2008 г.</c:v>
                </c:pt>
                <c:pt idx="18">
                  <c:v>2009 г.</c:v>
                </c:pt>
                <c:pt idx="19">
                  <c:v>2010 г.</c:v>
                </c:pt>
                <c:pt idx="20">
                  <c:v>2011 г.</c:v>
                </c:pt>
                <c:pt idx="21">
                  <c:v>2012 г.</c:v>
                </c:pt>
                <c:pt idx="22">
                  <c:v>2013 г.</c:v>
                </c:pt>
                <c:pt idx="23">
                  <c:v>2014 г.</c:v>
                </c:pt>
              </c:strCache>
            </c:strRef>
          </c:cat>
          <c:val>
            <c:numRef>
              <c:f>'[Диаграмма в Microsoft Word]Лист1'!$C$43:$Z$43</c:f>
              <c:numCache>
                <c:formatCode>General</c:formatCode>
                <c:ptCount val="24"/>
                <c:pt idx="0">
                  <c:v>100</c:v>
                </c:pt>
                <c:pt idx="1">
                  <c:v>23</c:v>
                </c:pt>
                <c:pt idx="2">
                  <c:v>23</c:v>
                </c:pt>
                <c:pt idx="3">
                  <c:v>53</c:v>
                </c:pt>
                <c:pt idx="4">
                  <c:v>36</c:v>
                </c:pt>
                <c:pt idx="5">
                  <c:v>41</c:v>
                </c:pt>
                <c:pt idx="6">
                  <c:v>45</c:v>
                </c:pt>
                <c:pt idx="7">
                  <c:v>45</c:v>
                </c:pt>
                <c:pt idx="8">
                  <c:v>46</c:v>
                </c:pt>
                <c:pt idx="9">
                  <c:v>42</c:v>
                </c:pt>
                <c:pt idx="10">
                  <c:v>50</c:v>
                </c:pt>
                <c:pt idx="11">
                  <c:v>52</c:v>
                </c:pt>
                <c:pt idx="12">
                  <c:v>61</c:v>
                </c:pt>
                <c:pt idx="13">
                  <c:v>60</c:v>
                </c:pt>
                <c:pt idx="14">
                  <c:v>73</c:v>
                </c:pt>
                <c:pt idx="15">
                  <c:v>84</c:v>
                </c:pt>
                <c:pt idx="16">
                  <c:v>81</c:v>
                </c:pt>
                <c:pt idx="17">
                  <c:v>113</c:v>
                </c:pt>
                <c:pt idx="18">
                  <c:v>90</c:v>
                </c:pt>
                <c:pt idx="19">
                  <c:v>88</c:v>
                </c:pt>
                <c:pt idx="20">
                  <c:v>96</c:v>
                </c:pt>
                <c:pt idx="21">
                  <c:v>100</c:v>
                </c:pt>
                <c:pt idx="22">
                  <c:v>103</c:v>
                </c:pt>
                <c:pt idx="23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924352"/>
        <c:axId val="133925888"/>
      </c:lineChart>
      <c:catAx>
        <c:axId val="133924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925888"/>
        <c:crosses val="autoZero"/>
        <c:auto val="1"/>
        <c:lblAlgn val="ctr"/>
        <c:lblOffset val="100"/>
        <c:noMultiLvlLbl val="0"/>
      </c:catAx>
      <c:valAx>
        <c:axId val="13392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924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988352434593363"/>
          <c:y val="5.0925925925925923E-2"/>
          <c:w val="0.54626129029245007"/>
          <c:h val="0.8502697579469232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Word]Лист1'!$B$61:$B$68</c:f>
              <c:strCache>
                <c:ptCount val="8"/>
                <c:pt idx="0">
                  <c:v>Другое</c:v>
                </c:pt>
                <c:pt idx="1">
                  <c:v>Инвестиционная деятельность</c:v>
                </c:pt>
                <c:pt idx="2">
                  <c:v>Переработка сырья</c:v>
                </c:pt>
                <c:pt idx="3">
                  <c:v>Привлечение специалистов из других регионов</c:v>
                </c:pt>
                <c:pt idx="4">
                  <c:v>Обмен технология</c:v>
                </c:pt>
                <c:pt idx="5">
                  <c:v>Производственная кооперация</c:v>
                </c:pt>
                <c:pt idx="6">
                  <c:v>Обеспечение сырьем</c:v>
                </c:pt>
                <c:pt idx="7">
                  <c:v>Реализация продукции</c:v>
                </c:pt>
              </c:strCache>
            </c:strRef>
          </c:cat>
          <c:val>
            <c:numRef>
              <c:f>'[Диаграмма в Microsoft Word]Лист1'!$C$61:$C$68</c:f>
              <c:numCache>
                <c:formatCode>General</c:formatCode>
                <c:ptCount val="8"/>
                <c:pt idx="0">
                  <c:v>1.5</c:v>
                </c:pt>
                <c:pt idx="1">
                  <c:v>4.5</c:v>
                </c:pt>
                <c:pt idx="2">
                  <c:v>9</c:v>
                </c:pt>
                <c:pt idx="3">
                  <c:v>10.4</c:v>
                </c:pt>
                <c:pt idx="4">
                  <c:v>10.4</c:v>
                </c:pt>
                <c:pt idx="5">
                  <c:v>11.9</c:v>
                </c:pt>
                <c:pt idx="6">
                  <c:v>58.2</c:v>
                </c:pt>
                <c:pt idx="7">
                  <c:v>74.599999999999994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92160"/>
        <c:axId val="122621952"/>
      </c:barChart>
      <c:catAx>
        <c:axId val="112892160"/>
        <c:scaling>
          <c:orientation val="minMax"/>
        </c:scaling>
        <c:delete val="0"/>
        <c:axPos val="l"/>
        <c:majorTickMark val="out"/>
        <c:minorTickMark val="none"/>
        <c:tickLblPos val="nextTo"/>
        <c:crossAx val="122621952"/>
        <c:crosses val="autoZero"/>
        <c:auto val="1"/>
        <c:lblAlgn val="ctr"/>
        <c:lblOffset val="100"/>
        <c:noMultiLvlLbl val="0"/>
      </c:catAx>
      <c:valAx>
        <c:axId val="1226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892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Лист1!$B$82:$B$86</c:f>
              <c:strCache>
                <c:ptCount val="5"/>
                <c:pt idx="0">
                  <c:v>Другое</c:v>
                </c:pt>
                <c:pt idx="1">
                  <c:v>Нормативно-правовая база</c:v>
                </c:pt>
                <c:pt idx="2">
                  <c:v>Малая ёмкость рынка</c:v>
                </c:pt>
                <c:pt idx="3">
                  <c:v>Высокая конкуренция на рынке</c:v>
                </c:pt>
                <c:pt idx="4">
                  <c:v>Удаленность контрагентов</c:v>
                </c:pt>
              </c:strCache>
            </c:strRef>
          </c:cat>
          <c:val>
            <c:numRef>
              <c:f>Лист1!$C$82:$C$86</c:f>
              <c:numCache>
                <c:formatCode>General</c:formatCode>
                <c:ptCount val="5"/>
                <c:pt idx="0">
                  <c:v>6</c:v>
                </c:pt>
                <c:pt idx="1">
                  <c:v>7.5</c:v>
                </c:pt>
                <c:pt idx="2">
                  <c:v>14.9</c:v>
                </c:pt>
                <c:pt idx="3">
                  <c:v>29.9</c:v>
                </c:pt>
                <c:pt idx="4">
                  <c:v>38.799999999999997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29504"/>
        <c:axId val="122647680"/>
      </c:barChart>
      <c:catAx>
        <c:axId val="1226295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2647680"/>
        <c:crosses val="autoZero"/>
        <c:auto val="1"/>
        <c:lblAlgn val="ctr"/>
        <c:lblOffset val="100"/>
        <c:noMultiLvlLbl val="0"/>
      </c:catAx>
      <c:valAx>
        <c:axId val="1226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629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0.05488</cdr:x>
      <cdr:y>0.34386</cdr:y>
    </cdr:from>
    <cdr:to>
      <cdr:x>0.95569</cdr:x>
      <cdr:y>0.34386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26004" y="938254"/>
          <a:ext cx="5351228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Лукин</dc:creator>
  <cp:lastModifiedBy>Евгений В. Лукин</cp:lastModifiedBy>
  <cp:revision>4</cp:revision>
  <dcterms:created xsi:type="dcterms:W3CDTF">2016-06-10T05:43:00Z</dcterms:created>
  <dcterms:modified xsi:type="dcterms:W3CDTF">2016-06-10T05:50:00Z</dcterms:modified>
</cp:coreProperties>
</file>