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5E" w:rsidRDefault="001E545E" w:rsidP="001E545E">
      <w:pPr>
        <w:spacing w:after="0" w:line="240" w:lineRule="auto"/>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УДК: </w:t>
      </w:r>
      <w:r w:rsidR="00230202">
        <w:rPr>
          <w:rFonts w:ascii="Times New Roman" w:hAnsi="Times New Roman" w:cs="Times New Roman"/>
          <w:b/>
          <w:sz w:val="24"/>
        </w:rPr>
        <w:t>339</w:t>
      </w:r>
    </w:p>
    <w:p w:rsidR="001E545E" w:rsidRDefault="001E545E" w:rsidP="001E545E">
      <w:pPr>
        <w:spacing w:after="0" w:line="240" w:lineRule="auto"/>
        <w:jc w:val="right"/>
        <w:rPr>
          <w:rFonts w:ascii="Times New Roman" w:hAnsi="Times New Roman" w:cs="Times New Roman"/>
          <w:b/>
          <w:sz w:val="24"/>
        </w:rPr>
      </w:pPr>
      <w:r>
        <w:rPr>
          <w:rFonts w:ascii="Times New Roman" w:hAnsi="Times New Roman" w:cs="Times New Roman"/>
          <w:b/>
          <w:sz w:val="24"/>
        </w:rPr>
        <w:t>Тухтарова Е.Х.</w:t>
      </w:r>
    </w:p>
    <w:p w:rsidR="002D3F76" w:rsidRPr="003674E2" w:rsidRDefault="003674E2" w:rsidP="001E545E">
      <w:pPr>
        <w:spacing w:after="0" w:line="240" w:lineRule="auto"/>
        <w:jc w:val="center"/>
        <w:rPr>
          <w:rFonts w:ascii="Times New Roman" w:hAnsi="Times New Roman" w:cs="Times New Roman"/>
          <w:b/>
          <w:sz w:val="24"/>
        </w:rPr>
      </w:pPr>
      <w:r w:rsidRPr="003674E2">
        <w:rPr>
          <w:rFonts w:ascii="Times New Roman" w:hAnsi="Times New Roman" w:cs="Times New Roman"/>
          <w:b/>
          <w:sz w:val="24"/>
        </w:rPr>
        <w:t xml:space="preserve">ДЕНЕЖНЫЕ ПЕРЕВОДЫ ТРУДОВЫХ МИГРАНТОВ КАК ФАКТОР СВЯЗИ ЕВРАЗИЙСКОГО </w:t>
      </w:r>
      <w:r w:rsidR="001E545E">
        <w:rPr>
          <w:rFonts w:ascii="Times New Roman" w:hAnsi="Times New Roman" w:cs="Times New Roman"/>
          <w:b/>
          <w:sz w:val="24"/>
        </w:rPr>
        <w:t>ЭКОНОМИЧЕСКОГО</w:t>
      </w:r>
      <w:r w:rsidR="001E545E" w:rsidRPr="001E545E">
        <w:rPr>
          <w:rFonts w:ascii="Times New Roman" w:hAnsi="Times New Roman" w:cs="Times New Roman"/>
          <w:b/>
          <w:sz w:val="24"/>
        </w:rPr>
        <w:t xml:space="preserve"> </w:t>
      </w:r>
      <w:r w:rsidRPr="003674E2">
        <w:rPr>
          <w:rFonts w:ascii="Times New Roman" w:hAnsi="Times New Roman" w:cs="Times New Roman"/>
          <w:b/>
          <w:sz w:val="24"/>
        </w:rPr>
        <w:t>СОТРУДНИЧЕСТВА</w:t>
      </w:r>
    </w:p>
    <w:p w:rsidR="003674E2" w:rsidRDefault="003674E2" w:rsidP="003674E2">
      <w:pPr>
        <w:spacing w:after="0" w:line="360" w:lineRule="auto"/>
        <w:ind w:firstLine="708"/>
        <w:jc w:val="both"/>
        <w:rPr>
          <w:rFonts w:ascii="Times New Roman" w:hAnsi="Times New Roman"/>
          <w:i/>
          <w:sz w:val="20"/>
          <w:szCs w:val="24"/>
        </w:rPr>
      </w:pPr>
    </w:p>
    <w:p w:rsidR="003674E2" w:rsidRPr="003674E2" w:rsidRDefault="003674E2" w:rsidP="001E545E">
      <w:pPr>
        <w:spacing w:after="0" w:line="240" w:lineRule="auto"/>
        <w:ind w:firstLine="708"/>
        <w:jc w:val="both"/>
        <w:rPr>
          <w:rFonts w:ascii="Times New Roman" w:hAnsi="Times New Roman"/>
          <w:sz w:val="20"/>
          <w:szCs w:val="24"/>
        </w:rPr>
      </w:pPr>
      <w:r w:rsidRPr="003674E2">
        <w:rPr>
          <w:rFonts w:ascii="Times New Roman" w:hAnsi="Times New Roman"/>
          <w:i/>
          <w:sz w:val="20"/>
          <w:szCs w:val="24"/>
        </w:rPr>
        <w:t xml:space="preserve">Публикация подготовлена в рамках проекта РГНФ №16-02-00422 </w:t>
      </w:r>
      <w:r w:rsidRPr="003674E2">
        <w:rPr>
          <w:rStyle w:val="HTML"/>
          <w:rFonts w:ascii="Times New Roman" w:hAnsi="Times New Roman"/>
          <w:sz w:val="20"/>
          <w:szCs w:val="24"/>
        </w:rPr>
        <w:t xml:space="preserve">«Мониторинг внешней трудовой миграции в разработке </w:t>
      </w:r>
      <w:proofErr w:type="gramStart"/>
      <w:r w:rsidRPr="003674E2">
        <w:rPr>
          <w:rStyle w:val="HTML"/>
          <w:rFonts w:ascii="Times New Roman" w:hAnsi="Times New Roman"/>
          <w:sz w:val="20"/>
          <w:szCs w:val="24"/>
        </w:rPr>
        <w:t>инструментария повышения социально-экономического благополучия регионов России</w:t>
      </w:r>
      <w:proofErr w:type="gramEnd"/>
      <w:r w:rsidRPr="003674E2">
        <w:rPr>
          <w:rStyle w:val="HTML"/>
          <w:rFonts w:ascii="Times New Roman" w:hAnsi="Times New Roman"/>
          <w:sz w:val="20"/>
          <w:szCs w:val="24"/>
        </w:rPr>
        <w:t>»</w:t>
      </w:r>
    </w:p>
    <w:p w:rsidR="001E545E" w:rsidRDefault="001E545E" w:rsidP="001E545E">
      <w:pPr>
        <w:spacing w:after="0" w:line="240" w:lineRule="auto"/>
        <w:jc w:val="both"/>
        <w:rPr>
          <w:rFonts w:ascii="Times New Roman" w:hAnsi="Times New Roman" w:cs="Times New Roman"/>
          <w:b/>
          <w:sz w:val="24"/>
          <w:szCs w:val="28"/>
        </w:rPr>
      </w:pPr>
    </w:p>
    <w:p w:rsidR="00230202" w:rsidRPr="00F115FA" w:rsidRDefault="00F115FA" w:rsidP="00F115FA">
      <w:pPr>
        <w:spacing w:after="0" w:line="240" w:lineRule="auto"/>
        <w:ind w:firstLine="708"/>
        <w:jc w:val="both"/>
        <w:rPr>
          <w:rFonts w:ascii="Times New Roman" w:hAnsi="Times New Roman" w:cs="Times New Roman"/>
          <w:i/>
          <w:sz w:val="24"/>
          <w:szCs w:val="28"/>
        </w:rPr>
      </w:pPr>
      <w:r w:rsidRPr="00F115FA">
        <w:rPr>
          <w:rFonts w:ascii="Times New Roman" w:hAnsi="Times New Roman" w:cs="Times New Roman"/>
          <w:i/>
          <w:sz w:val="24"/>
          <w:szCs w:val="28"/>
        </w:rPr>
        <w:t>В современном российском научном сообществе ведутся споры не только об эффективности Евразийского сотрудничества между странами входящими в этот союз, но и не утихает вопрос</w:t>
      </w:r>
      <w:r>
        <w:rPr>
          <w:rFonts w:ascii="Times New Roman" w:hAnsi="Times New Roman" w:cs="Times New Roman"/>
          <w:i/>
          <w:sz w:val="24"/>
          <w:szCs w:val="28"/>
        </w:rPr>
        <w:t xml:space="preserve"> о</w:t>
      </w:r>
      <w:r w:rsidRPr="00F115FA">
        <w:rPr>
          <w:rFonts w:ascii="Times New Roman" w:hAnsi="Times New Roman" w:cs="Times New Roman"/>
          <w:i/>
          <w:sz w:val="24"/>
          <w:szCs w:val="28"/>
        </w:rPr>
        <w:t xml:space="preserve"> вовлечение бывших стран постсоветского лагеря в его орбиту. Одни склоняются в том, что у России нет необходимости развивать это сотрудничество, а другие напротив считают чуть ли не единственным спасанием России и бывших союзных республик в эпоху глобализации и конкуренции на мировых рынках. </w:t>
      </w:r>
    </w:p>
    <w:p w:rsidR="00F115FA" w:rsidRPr="00F115FA" w:rsidRDefault="00F115FA" w:rsidP="00F115FA">
      <w:pPr>
        <w:spacing w:after="0" w:line="240" w:lineRule="auto"/>
        <w:ind w:firstLine="708"/>
        <w:jc w:val="both"/>
        <w:rPr>
          <w:rFonts w:ascii="Times New Roman" w:hAnsi="Times New Roman" w:cs="Times New Roman"/>
          <w:i/>
          <w:sz w:val="24"/>
          <w:szCs w:val="28"/>
        </w:rPr>
      </w:pPr>
      <w:r>
        <w:rPr>
          <w:rFonts w:ascii="Times New Roman" w:hAnsi="Times New Roman" w:cs="Times New Roman"/>
          <w:i/>
          <w:sz w:val="24"/>
          <w:szCs w:val="28"/>
        </w:rPr>
        <w:t>И</w:t>
      </w:r>
      <w:r w:rsidRPr="00F115FA">
        <w:rPr>
          <w:rFonts w:ascii="Times New Roman" w:hAnsi="Times New Roman" w:cs="Times New Roman"/>
          <w:i/>
          <w:sz w:val="24"/>
          <w:szCs w:val="28"/>
        </w:rPr>
        <w:t>сследование</w:t>
      </w:r>
      <w:r>
        <w:rPr>
          <w:rFonts w:ascii="Times New Roman" w:hAnsi="Times New Roman" w:cs="Times New Roman"/>
          <w:i/>
          <w:sz w:val="24"/>
          <w:szCs w:val="28"/>
        </w:rPr>
        <w:t xml:space="preserve"> автора</w:t>
      </w:r>
      <w:r w:rsidRPr="00F115FA">
        <w:rPr>
          <w:rFonts w:ascii="Times New Roman" w:hAnsi="Times New Roman" w:cs="Times New Roman"/>
          <w:i/>
          <w:sz w:val="24"/>
          <w:szCs w:val="28"/>
        </w:rPr>
        <w:t xml:space="preserve"> показало, что, несмотря на 25 лет попыток дезинтеграции некогда одного государства, экономическое сотрудничество не только между странами участницами </w:t>
      </w:r>
      <w:proofErr w:type="spellStart"/>
      <w:r w:rsidRPr="00F115FA">
        <w:rPr>
          <w:rFonts w:ascii="Times New Roman" w:hAnsi="Times New Roman" w:cs="Times New Roman"/>
          <w:i/>
          <w:sz w:val="24"/>
          <w:szCs w:val="28"/>
        </w:rPr>
        <w:t>ЕврАзЭС</w:t>
      </w:r>
      <w:proofErr w:type="spellEnd"/>
      <w:r w:rsidRPr="00F115FA">
        <w:rPr>
          <w:rFonts w:ascii="Times New Roman" w:hAnsi="Times New Roman" w:cs="Times New Roman"/>
          <w:i/>
          <w:sz w:val="24"/>
          <w:szCs w:val="28"/>
        </w:rPr>
        <w:t>, но и со странами не входящими пока в этот союз имеет до сих пор огромный потенциал. Более того практически все стран</w:t>
      </w:r>
      <w:r>
        <w:rPr>
          <w:rFonts w:ascii="Times New Roman" w:hAnsi="Times New Roman" w:cs="Times New Roman"/>
          <w:i/>
          <w:sz w:val="24"/>
          <w:szCs w:val="28"/>
        </w:rPr>
        <w:t>ы</w:t>
      </w:r>
      <w:r w:rsidRPr="00F115FA">
        <w:rPr>
          <w:rFonts w:ascii="Times New Roman" w:hAnsi="Times New Roman" w:cs="Times New Roman"/>
          <w:i/>
          <w:sz w:val="24"/>
          <w:szCs w:val="28"/>
        </w:rPr>
        <w:t xml:space="preserve"> бывших союзных республик силь</w:t>
      </w:r>
      <w:r>
        <w:rPr>
          <w:rFonts w:ascii="Times New Roman" w:hAnsi="Times New Roman" w:cs="Times New Roman"/>
          <w:i/>
          <w:sz w:val="24"/>
          <w:szCs w:val="28"/>
        </w:rPr>
        <w:t>но зависимы от экономики России, а трудовые мигранты являются ниточками связывающими это экономическое пространство.</w:t>
      </w:r>
    </w:p>
    <w:p w:rsidR="003674E2" w:rsidRPr="001E545E" w:rsidRDefault="001E545E" w:rsidP="00F115FA">
      <w:pPr>
        <w:spacing w:after="0" w:line="240" w:lineRule="auto"/>
        <w:ind w:firstLine="708"/>
        <w:jc w:val="both"/>
        <w:rPr>
          <w:rFonts w:ascii="Times New Roman" w:hAnsi="Times New Roman" w:cs="Times New Roman"/>
          <w:sz w:val="24"/>
          <w:szCs w:val="28"/>
        </w:rPr>
      </w:pPr>
      <w:r w:rsidRPr="001E545E">
        <w:rPr>
          <w:rFonts w:ascii="Times New Roman" w:hAnsi="Times New Roman" w:cs="Times New Roman"/>
          <w:b/>
          <w:sz w:val="24"/>
          <w:szCs w:val="28"/>
        </w:rPr>
        <w:t>Ключевые слова</w:t>
      </w:r>
      <w:r w:rsidRPr="001E545E">
        <w:rPr>
          <w:rFonts w:ascii="Times New Roman" w:hAnsi="Times New Roman" w:cs="Times New Roman"/>
          <w:sz w:val="24"/>
          <w:szCs w:val="28"/>
        </w:rPr>
        <w:t xml:space="preserve">: </w:t>
      </w:r>
      <w:r w:rsidRPr="001E545E">
        <w:rPr>
          <w:rFonts w:ascii="Times New Roman" w:hAnsi="Times New Roman" w:cs="Times New Roman"/>
          <w:i/>
          <w:sz w:val="24"/>
          <w:szCs w:val="28"/>
        </w:rPr>
        <w:t>денежные переводы, трудовой мигрант, экономическое развитие, Евразийское экономическое пространство</w:t>
      </w:r>
    </w:p>
    <w:p w:rsidR="001E545E" w:rsidRDefault="001E545E" w:rsidP="001E545E">
      <w:pPr>
        <w:spacing w:after="0" w:line="240" w:lineRule="auto"/>
        <w:ind w:firstLine="709"/>
        <w:jc w:val="both"/>
        <w:rPr>
          <w:rFonts w:ascii="Times New Roman" w:hAnsi="Times New Roman" w:cs="Times New Roman"/>
          <w:sz w:val="24"/>
          <w:szCs w:val="28"/>
        </w:rPr>
      </w:pPr>
    </w:p>
    <w:p w:rsidR="009C1FAF" w:rsidRDefault="009C1FAF" w:rsidP="001E545E">
      <w:pPr>
        <w:spacing w:after="0" w:line="240" w:lineRule="auto"/>
        <w:ind w:firstLine="709"/>
        <w:jc w:val="both"/>
        <w:rPr>
          <w:rFonts w:ascii="Times New Roman" w:hAnsi="Times New Roman" w:cs="Times New Roman"/>
          <w:sz w:val="24"/>
          <w:szCs w:val="28"/>
        </w:rPr>
      </w:pPr>
      <w:r w:rsidRPr="00B574C3">
        <w:rPr>
          <w:rFonts w:ascii="Times New Roman" w:hAnsi="Times New Roman" w:cs="Times New Roman"/>
          <w:sz w:val="24"/>
          <w:szCs w:val="28"/>
        </w:rPr>
        <w:t xml:space="preserve">Вовлеченность России в глобализационные процессы, </w:t>
      </w:r>
      <w:proofErr w:type="gramStart"/>
      <w:r w:rsidRPr="00B574C3">
        <w:rPr>
          <w:rFonts w:ascii="Times New Roman" w:hAnsi="Times New Roman" w:cs="Times New Roman"/>
          <w:sz w:val="24"/>
          <w:szCs w:val="28"/>
        </w:rPr>
        <w:t>начавшееся</w:t>
      </w:r>
      <w:proofErr w:type="gramEnd"/>
      <w:r w:rsidRPr="00B574C3">
        <w:rPr>
          <w:rFonts w:ascii="Times New Roman" w:hAnsi="Times New Roman" w:cs="Times New Roman"/>
          <w:sz w:val="24"/>
          <w:szCs w:val="28"/>
        </w:rPr>
        <w:t xml:space="preserve"> в начале 90 – х годов прошлого столетия, привело к беспрецедентному миграционному движению внутри некогда единого советского пространства. С началом этих миграционных процессов Россия столкнулась с новыми явлениями в своей экономике. Одним из таких явлений следует выделить свободное движение капитала, частью которого являются денежные переводы</w:t>
      </w:r>
      <w:r>
        <w:rPr>
          <w:rFonts w:ascii="Times New Roman" w:hAnsi="Times New Roman" w:cs="Times New Roman"/>
          <w:sz w:val="24"/>
          <w:szCs w:val="28"/>
        </w:rPr>
        <w:t xml:space="preserve"> мигрантов</w:t>
      </w:r>
      <w:r w:rsidRPr="00B574C3">
        <w:rPr>
          <w:rFonts w:ascii="Times New Roman" w:hAnsi="Times New Roman" w:cs="Times New Roman"/>
          <w:sz w:val="24"/>
          <w:szCs w:val="28"/>
        </w:rPr>
        <w:t>. Поток денежных переводов из России особенно усилился и приобрел глобальные масштабы сопоставимые с передовыми странами Западного мира с середины нулевых</w:t>
      </w:r>
      <w:r>
        <w:rPr>
          <w:rFonts w:ascii="Times New Roman" w:hAnsi="Times New Roman" w:cs="Times New Roman"/>
          <w:sz w:val="24"/>
          <w:szCs w:val="28"/>
        </w:rPr>
        <w:t xml:space="preserve"> годов текущего столетия</w:t>
      </w:r>
      <w:r w:rsidRPr="00B574C3">
        <w:rPr>
          <w:rFonts w:ascii="Times New Roman" w:hAnsi="Times New Roman" w:cs="Times New Roman"/>
          <w:sz w:val="24"/>
          <w:szCs w:val="28"/>
        </w:rPr>
        <w:t>. Так, по данным Банка России в 2014 г. из России было переведено около 24 млрд. долларов, что составило 4% от всех денежных переводов в мире</w:t>
      </w:r>
      <w:r w:rsidRPr="00B574C3">
        <w:rPr>
          <w:rStyle w:val="a5"/>
          <w:rFonts w:ascii="Times New Roman" w:hAnsi="Times New Roman"/>
          <w:sz w:val="24"/>
          <w:szCs w:val="28"/>
        </w:rPr>
        <w:footnoteReference w:id="1"/>
      </w:r>
      <w:r w:rsidRPr="00B574C3">
        <w:rPr>
          <w:rFonts w:ascii="Times New Roman" w:hAnsi="Times New Roman" w:cs="Times New Roman"/>
          <w:sz w:val="24"/>
          <w:szCs w:val="28"/>
        </w:rPr>
        <w:t>.  Вместе с тем неблагоприятная экономическая ситуация в российской экономике в 2015 г. существенным образом сократила этот поток</w:t>
      </w:r>
      <w:r>
        <w:rPr>
          <w:rFonts w:ascii="Times New Roman" w:hAnsi="Times New Roman" w:cs="Times New Roman"/>
          <w:sz w:val="24"/>
          <w:szCs w:val="28"/>
        </w:rPr>
        <w:t xml:space="preserve"> более чем в два раза</w:t>
      </w:r>
      <w:r w:rsidRPr="00B574C3">
        <w:rPr>
          <w:rFonts w:ascii="Times New Roman" w:hAnsi="Times New Roman" w:cs="Times New Roman"/>
          <w:sz w:val="24"/>
          <w:szCs w:val="28"/>
        </w:rPr>
        <w:t xml:space="preserve"> до 9 млрд. дол</w:t>
      </w:r>
      <w:proofErr w:type="gramStart"/>
      <w:r w:rsidRPr="00B574C3">
        <w:rPr>
          <w:rFonts w:ascii="Times New Roman" w:hAnsi="Times New Roman" w:cs="Times New Roman"/>
          <w:sz w:val="24"/>
          <w:szCs w:val="28"/>
        </w:rPr>
        <w:t>.</w:t>
      </w:r>
      <w:proofErr w:type="gramEnd"/>
      <w:r w:rsidRPr="00B574C3">
        <w:rPr>
          <w:rFonts w:ascii="Times New Roman" w:hAnsi="Times New Roman" w:cs="Times New Roman"/>
          <w:sz w:val="24"/>
          <w:szCs w:val="28"/>
        </w:rPr>
        <w:t xml:space="preserve"> (</w:t>
      </w:r>
      <w:proofErr w:type="gramStart"/>
      <w:r w:rsidRPr="00B574C3">
        <w:rPr>
          <w:rFonts w:ascii="Times New Roman" w:hAnsi="Times New Roman" w:cs="Times New Roman"/>
          <w:sz w:val="24"/>
          <w:szCs w:val="28"/>
        </w:rPr>
        <w:t>с</w:t>
      </w:r>
      <w:proofErr w:type="gramEnd"/>
      <w:r w:rsidRPr="00B574C3">
        <w:rPr>
          <w:rFonts w:ascii="Times New Roman" w:hAnsi="Times New Roman" w:cs="Times New Roman"/>
          <w:sz w:val="24"/>
          <w:szCs w:val="28"/>
        </w:rPr>
        <w:t xml:space="preserve">м. рис.1). </w:t>
      </w:r>
    </w:p>
    <w:p w:rsidR="00F115FA" w:rsidRPr="00B574C3" w:rsidRDefault="00F115FA" w:rsidP="001E545E">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Среди стран Евразийского экономического сотрудничества в структуре денежных переводов из России выделяются такие страны как Армения с долей 10-8%, Киргизия с долей 8-13% и Таджикистан с долей 15-20% (табл.1). Наличие высокой доли денежных переводов в Таджикистан может свидетельствовать о том, что экономика страны </w:t>
      </w:r>
      <w:proofErr w:type="gramStart"/>
      <w:r>
        <w:rPr>
          <w:rFonts w:ascii="Times New Roman" w:hAnsi="Times New Roman" w:cs="Times New Roman"/>
          <w:sz w:val="24"/>
          <w:szCs w:val="28"/>
        </w:rPr>
        <w:t>до</w:t>
      </w:r>
      <w:proofErr w:type="gramEnd"/>
      <w:r>
        <w:rPr>
          <w:rFonts w:ascii="Times New Roman" w:hAnsi="Times New Roman" w:cs="Times New Roman"/>
          <w:sz w:val="24"/>
          <w:szCs w:val="28"/>
        </w:rPr>
        <w:t xml:space="preserve"> сих пор не восстановилась после гражданской войны 90-х годов и сильно зависит от экономического развития России. Несмотря на значительные темпы экономического роста свыше 7% [2], государство не в состоянии создавать рабочие места в необходимом объеме.</w:t>
      </w:r>
    </w:p>
    <w:p w:rsidR="009C1FAF" w:rsidRPr="00AC3264" w:rsidRDefault="009C1FAF" w:rsidP="009C1FAF">
      <w:pPr>
        <w:spacing w:after="0" w:line="240" w:lineRule="auto"/>
        <w:jc w:val="both"/>
        <w:rPr>
          <w:rFonts w:ascii="Times New Roman" w:hAnsi="Times New Roman" w:cs="Times New Roman"/>
          <w:color w:val="FF0000"/>
          <w:sz w:val="28"/>
          <w:szCs w:val="28"/>
        </w:rPr>
      </w:pPr>
      <w:r w:rsidRPr="00AC3264">
        <w:rPr>
          <w:noProof/>
          <w:color w:val="FF0000"/>
          <w:lang w:eastAsia="ru-RU"/>
        </w:rPr>
        <w:lastRenderedPageBreak/>
        <w:drawing>
          <wp:inline distT="0" distB="0" distL="0" distR="0" wp14:anchorId="7AA9728C" wp14:editId="519C5E64">
            <wp:extent cx="5759450" cy="2533650"/>
            <wp:effectExtent l="0" t="0" r="127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1FAF" w:rsidRPr="001E545E" w:rsidRDefault="009C1FAF" w:rsidP="001E545E">
      <w:pPr>
        <w:spacing w:after="0" w:line="240" w:lineRule="auto"/>
        <w:jc w:val="both"/>
        <w:rPr>
          <w:rFonts w:ascii="Times New Roman" w:hAnsi="Times New Roman" w:cs="Times New Roman"/>
        </w:rPr>
      </w:pPr>
      <w:r w:rsidRPr="001E545E">
        <w:rPr>
          <w:rFonts w:ascii="Times New Roman" w:hAnsi="Times New Roman" w:cs="Times New Roman"/>
        </w:rPr>
        <w:t xml:space="preserve">Источник: </w:t>
      </w:r>
      <w:r w:rsidR="001E545E">
        <w:rPr>
          <w:rFonts w:ascii="Times New Roman" w:hAnsi="Times New Roman" w:cs="Times New Roman"/>
          <w:sz w:val="24"/>
          <w:szCs w:val="28"/>
        </w:rPr>
        <w:t>[1]</w:t>
      </w:r>
    </w:p>
    <w:p w:rsidR="009C1FAF" w:rsidRPr="00B574C3" w:rsidRDefault="009C1FAF" w:rsidP="001E545E">
      <w:pPr>
        <w:pStyle w:val="a6"/>
        <w:spacing w:after="0"/>
        <w:rPr>
          <w:rFonts w:ascii="Times New Roman" w:hAnsi="Times New Roman" w:cs="Times New Roman"/>
          <w:b w:val="0"/>
          <w:bCs w:val="0"/>
          <w:color w:val="auto"/>
          <w:sz w:val="24"/>
          <w:szCs w:val="28"/>
        </w:rPr>
      </w:pPr>
      <w:r w:rsidRPr="00B574C3">
        <w:rPr>
          <w:rFonts w:ascii="Times New Roman" w:hAnsi="Times New Roman" w:cs="Times New Roman"/>
          <w:b w:val="0"/>
          <w:bCs w:val="0"/>
          <w:color w:val="auto"/>
          <w:sz w:val="24"/>
          <w:szCs w:val="28"/>
        </w:rPr>
        <w:t xml:space="preserve">Рисунок </w:t>
      </w:r>
      <w:r w:rsidRPr="00B574C3">
        <w:rPr>
          <w:rFonts w:ascii="Times New Roman" w:hAnsi="Times New Roman" w:cs="Times New Roman"/>
          <w:b w:val="0"/>
          <w:bCs w:val="0"/>
          <w:color w:val="auto"/>
          <w:sz w:val="24"/>
          <w:szCs w:val="28"/>
        </w:rPr>
        <w:fldChar w:fldCharType="begin"/>
      </w:r>
      <w:r w:rsidRPr="00B574C3">
        <w:rPr>
          <w:rFonts w:ascii="Times New Roman" w:hAnsi="Times New Roman" w:cs="Times New Roman"/>
          <w:b w:val="0"/>
          <w:bCs w:val="0"/>
          <w:color w:val="auto"/>
          <w:sz w:val="24"/>
          <w:szCs w:val="28"/>
        </w:rPr>
        <w:instrText xml:space="preserve"> SEQ Рисунок \* ARABIC </w:instrText>
      </w:r>
      <w:r w:rsidRPr="00B574C3">
        <w:rPr>
          <w:rFonts w:ascii="Times New Roman" w:hAnsi="Times New Roman" w:cs="Times New Roman"/>
          <w:b w:val="0"/>
          <w:bCs w:val="0"/>
          <w:color w:val="auto"/>
          <w:sz w:val="24"/>
          <w:szCs w:val="28"/>
        </w:rPr>
        <w:fldChar w:fldCharType="separate"/>
      </w:r>
      <w:r w:rsidRPr="00B574C3">
        <w:rPr>
          <w:rFonts w:ascii="Times New Roman" w:hAnsi="Times New Roman" w:cs="Times New Roman"/>
          <w:b w:val="0"/>
          <w:bCs w:val="0"/>
          <w:color w:val="auto"/>
          <w:sz w:val="24"/>
          <w:szCs w:val="28"/>
        </w:rPr>
        <w:t>1</w:t>
      </w:r>
      <w:r w:rsidRPr="00B574C3">
        <w:rPr>
          <w:rFonts w:ascii="Times New Roman" w:hAnsi="Times New Roman" w:cs="Times New Roman"/>
          <w:b w:val="0"/>
          <w:bCs w:val="0"/>
          <w:color w:val="auto"/>
          <w:sz w:val="24"/>
          <w:szCs w:val="28"/>
        </w:rPr>
        <w:fldChar w:fldCharType="end"/>
      </w:r>
      <w:r w:rsidR="001E545E">
        <w:rPr>
          <w:rFonts w:ascii="Times New Roman" w:hAnsi="Times New Roman" w:cs="Times New Roman"/>
          <w:b w:val="0"/>
          <w:bCs w:val="0"/>
          <w:color w:val="auto"/>
          <w:sz w:val="24"/>
          <w:szCs w:val="28"/>
        </w:rPr>
        <w:t>.</w:t>
      </w:r>
      <w:r w:rsidRPr="00B574C3">
        <w:rPr>
          <w:rFonts w:ascii="Times New Roman" w:hAnsi="Times New Roman" w:cs="Times New Roman"/>
          <w:b w:val="0"/>
          <w:bCs w:val="0"/>
          <w:color w:val="auto"/>
          <w:sz w:val="24"/>
          <w:szCs w:val="28"/>
        </w:rPr>
        <w:t xml:space="preserve"> Динамика </w:t>
      </w:r>
      <w:r w:rsidR="001E545E">
        <w:rPr>
          <w:rFonts w:ascii="Times New Roman" w:hAnsi="Times New Roman" w:cs="Times New Roman"/>
          <w:b w:val="0"/>
          <w:bCs w:val="0"/>
          <w:color w:val="auto"/>
          <w:sz w:val="24"/>
          <w:szCs w:val="28"/>
        </w:rPr>
        <w:t xml:space="preserve">личных </w:t>
      </w:r>
      <w:r w:rsidRPr="00B574C3">
        <w:rPr>
          <w:rFonts w:ascii="Times New Roman" w:hAnsi="Times New Roman" w:cs="Times New Roman"/>
          <w:b w:val="0"/>
          <w:bCs w:val="0"/>
          <w:color w:val="auto"/>
          <w:sz w:val="24"/>
          <w:szCs w:val="28"/>
        </w:rPr>
        <w:t>денежных переводов из России за 2006 – 2015 гг.</w:t>
      </w:r>
      <w:r>
        <w:rPr>
          <w:rFonts w:ascii="Times New Roman" w:hAnsi="Times New Roman" w:cs="Times New Roman"/>
          <w:b w:val="0"/>
          <w:bCs w:val="0"/>
          <w:color w:val="auto"/>
          <w:sz w:val="24"/>
          <w:szCs w:val="28"/>
        </w:rPr>
        <w:t xml:space="preserve"> </w:t>
      </w:r>
    </w:p>
    <w:p w:rsidR="001E545E" w:rsidRDefault="001E545E" w:rsidP="001E545E">
      <w:pPr>
        <w:spacing w:after="0" w:line="240" w:lineRule="auto"/>
        <w:ind w:firstLine="709"/>
        <w:jc w:val="both"/>
        <w:rPr>
          <w:rFonts w:ascii="Times New Roman" w:hAnsi="Times New Roman" w:cs="Times New Roman"/>
          <w:sz w:val="24"/>
          <w:szCs w:val="28"/>
        </w:rPr>
      </w:pPr>
    </w:p>
    <w:p w:rsidR="009C1FAF" w:rsidRDefault="009C1FAF" w:rsidP="001E545E">
      <w:pPr>
        <w:spacing w:after="0" w:line="240" w:lineRule="auto"/>
        <w:ind w:firstLine="709"/>
        <w:jc w:val="both"/>
        <w:rPr>
          <w:rFonts w:ascii="Times New Roman" w:hAnsi="Times New Roman"/>
          <w:sz w:val="24"/>
          <w:szCs w:val="28"/>
        </w:rPr>
      </w:pPr>
      <w:r>
        <w:rPr>
          <w:rFonts w:ascii="Times New Roman" w:hAnsi="Times New Roman" w:cs="Times New Roman"/>
          <w:sz w:val="24"/>
          <w:szCs w:val="28"/>
        </w:rPr>
        <w:t>Помимо этого, государственные институты страны не в полной мере используют имеющийся потенциал и не аккумулируют денежные переводы из России, с целью их последующей трансформации в инвестиции для ну</w:t>
      </w:r>
      <w:proofErr w:type="gramStart"/>
      <w:r>
        <w:rPr>
          <w:rFonts w:ascii="Times New Roman" w:hAnsi="Times New Roman" w:cs="Times New Roman"/>
          <w:sz w:val="24"/>
          <w:szCs w:val="28"/>
        </w:rPr>
        <w:t>жд стр</w:t>
      </w:r>
      <w:proofErr w:type="gramEnd"/>
      <w:r>
        <w:rPr>
          <w:rFonts w:ascii="Times New Roman" w:hAnsi="Times New Roman" w:cs="Times New Roman"/>
          <w:sz w:val="24"/>
          <w:szCs w:val="28"/>
        </w:rPr>
        <w:t>аны. Подавляющая часть этих потоков направляется на личное потребление домохозяйств</w:t>
      </w:r>
      <w:r w:rsidR="001E545E">
        <w:rPr>
          <w:rFonts w:ascii="Times New Roman" w:hAnsi="Times New Roman" w:cs="Times New Roman"/>
          <w:sz w:val="24"/>
          <w:szCs w:val="28"/>
        </w:rPr>
        <w:t xml:space="preserve"> [3]</w:t>
      </w:r>
      <w:r>
        <w:rPr>
          <w:rFonts w:ascii="Times New Roman" w:hAnsi="Times New Roman" w:cs="Times New Roman"/>
          <w:sz w:val="24"/>
          <w:szCs w:val="28"/>
        </w:rPr>
        <w:t>, что также свидетельствует не только о догоняющем эффекте росте потребления, но и о недостаточно привлекательном инвестиционном климате страны и сложностях ведения малого бизнеса.</w:t>
      </w:r>
      <w:r w:rsidRPr="008676EA">
        <w:rPr>
          <w:rStyle w:val="a5"/>
          <w:rFonts w:ascii="Times New Roman" w:hAnsi="Times New Roman"/>
          <w:sz w:val="24"/>
          <w:szCs w:val="28"/>
        </w:rPr>
        <w:t xml:space="preserve"> </w:t>
      </w:r>
      <w:r>
        <w:rPr>
          <w:rFonts w:ascii="Times New Roman" w:hAnsi="Times New Roman"/>
          <w:sz w:val="24"/>
          <w:szCs w:val="28"/>
        </w:rPr>
        <w:t>Те же тенденции характерны и для Киргизии</w:t>
      </w:r>
      <w:r w:rsidR="001E545E">
        <w:rPr>
          <w:rFonts w:ascii="Times New Roman" w:hAnsi="Times New Roman"/>
          <w:sz w:val="24"/>
          <w:szCs w:val="28"/>
        </w:rPr>
        <w:t xml:space="preserve"> </w:t>
      </w:r>
      <w:r w:rsidR="001E545E">
        <w:rPr>
          <w:rFonts w:ascii="Times New Roman" w:hAnsi="Times New Roman" w:cs="Times New Roman"/>
          <w:sz w:val="24"/>
          <w:szCs w:val="28"/>
        </w:rPr>
        <w:t>[4]</w:t>
      </w:r>
      <w:r>
        <w:rPr>
          <w:rFonts w:ascii="Times New Roman" w:hAnsi="Times New Roman"/>
          <w:sz w:val="24"/>
          <w:szCs w:val="28"/>
        </w:rPr>
        <w:t>.</w:t>
      </w:r>
    </w:p>
    <w:p w:rsidR="001E545E" w:rsidRDefault="009C1FAF" w:rsidP="001E545E">
      <w:pPr>
        <w:pStyle w:val="a6"/>
        <w:spacing w:after="0"/>
        <w:jc w:val="right"/>
        <w:rPr>
          <w:rFonts w:ascii="Times New Roman" w:hAnsi="Times New Roman" w:cs="Times New Roman"/>
          <w:b w:val="0"/>
          <w:bCs w:val="0"/>
          <w:color w:val="auto"/>
          <w:sz w:val="24"/>
          <w:szCs w:val="28"/>
        </w:rPr>
      </w:pPr>
      <w:r w:rsidRPr="00B574C3">
        <w:rPr>
          <w:rFonts w:ascii="Times New Roman" w:hAnsi="Times New Roman" w:cs="Times New Roman"/>
          <w:b w:val="0"/>
          <w:bCs w:val="0"/>
          <w:color w:val="auto"/>
          <w:sz w:val="24"/>
          <w:szCs w:val="28"/>
        </w:rPr>
        <w:t xml:space="preserve">Таблица </w:t>
      </w:r>
      <w:r w:rsidRPr="00B574C3">
        <w:rPr>
          <w:rFonts w:ascii="Times New Roman" w:hAnsi="Times New Roman" w:cs="Times New Roman"/>
          <w:b w:val="0"/>
          <w:bCs w:val="0"/>
          <w:color w:val="auto"/>
          <w:sz w:val="24"/>
          <w:szCs w:val="28"/>
        </w:rPr>
        <w:fldChar w:fldCharType="begin"/>
      </w:r>
      <w:r w:rsidRPr="00B574C3">
        <w:rPr>
          <w:rFonts w:ascii="Times New Roman" w:hAnsi="Times New Roman" w:cs="Times New Roman"/>
          <w:b w:val="0"/>
          <w:bCs w:val="0"/>
          <w:color w:val="auto"/>
          <w:sz w:val="24"/>
          <w:szCs w:val="28"/>
        </w:rPr>
        <w:instrText xml:space="preserve"> SEQ Таблица \* ARABIC </w:instrText>
      </w:r>
      <w:r w:rsidRPr="00B574C3">
        <w:rPr>
          <w:rFonts w:ascii="Times New Roman" w:hAnsi="Times New Roman" w:cs="Times New Roman"/>
          <w:b w:val="0"/>
          <w:bCs w:val="0"/>
          <w:color w:val="auto"/>
          <w:sz w:val="24"/>
          <w:szCs w:val="28"/>
        </w:rPr>
        <w:fldChar w:fldCharType="separate"/>
      </w:r>
      <w:r>
        <w:rPr>
          <w:rFonts w:ascii="Times New Roman" w:hAnsi="Times New Roman" w:cs="Times New Roman"/>
          <w:b w:val="0"/>
          <w:bCs w:val="0"/>
          <w:noProof/>
          <w:color w:val="auto"/>
          <w:sz w:val="24"/>
          <w:szCs w:val="28"/>
        </w:rPr>
        <w:t>1</w:t>
      </w:r>
      <w:r w:rsidRPr="00B574C3">
        <w:rPr>
          <w:rFonts w:ascii="Times New Roman" w:hAnsi="Times New Roman" w:cs="Times New Roman"/>
          <w:b w:val="0"/>
          <w:bCs w:val="0"/>
          <w:color w:val="auto"/>
          <w:sz w:val="24"/>
          <w:szCs w:val="28"/>
        </w:rPr>
        <w:fldChar w:fldCharType="end"/>
      </w:r>
      <w:r>
        <w:rPr>
          <w:rFonts w:ascii="Times New Roman" w:hAnsi="Times New Roman" w:cs="Times New Roman"/>
          <w:b w:val="0"/>
          <w:bCs w:val="0"/>
          <w:color w:val="auto"/>
          <w:sz w:val="24"/>
          <w:szCs w:val="28"/>
        </w:rPr>
        <w:t xml:space="preserve"> </w:t>
      </w:r>
    </w:p>
    <w:p w:rsidR="009C1FAF" w:rsidRPr="00B574C3" w:rsidRDefault="009C1FAF" w:rsidP="001E545E">
      <w:pPr>
        <w:pStyle w:val="a6"/>
        <w:spacing w:after="0"/>
        <w:jc w:val="center"/>
        <w:rPr>
          <w:rFonts w:ascii="Times New Roman" w:hAnsi="Times New Roman" w:cs="Times New Roman"/>
          <w:b w:val="0"/>
          <w:bCs w:val="0"/>
          <w:color w:val="auto"/>
          <w:sz w:val="24"/>
          <w:szCs w:val="28"/>
        </w:rPr>
      </w:pPr>
      <w:r>
        <w:rPr>
          <w:rFonts w:ascii="Times New Roman" w:hAnsi="Times New Roman" w:cs="Times New Roman"/>
          <w:b w:val="0"/>
          <w:bCs w:val="0"/>
          <w:color w:val="auto"/>
          <w:sz w:val="24"/>
          <w:szCs w:val="28"/>
        </w:rPr>
        <w:t>Структура денежных переводов из России по странам бывшего СССР</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50"/>
        <w:gridCol w:w="836"/>
        <w:gridCol w:w="836"/>
        <w:gridCol w:w="844"/>
        <w:gridCol w:w="836"/>
        <w:gridCol w:w="836"/>
        <w:gridCol w:w="836"/>
        <w:gridCol w:w="836"/>
        <w:gridCol w:w="837"/>
        <w:gridCol w:w="836"/>
      </w:tblGrid>
      <w:tr w:rsidR="009C1FAF" w:rsidRPr="00B574C3" w:rsidTr="00F8370A">
        <w:trPr>
          <w:trHeight w:val="315"/>
        </w:trPr>
        <w:tc>
          <w:tcPr>
            <w:tcW w:w="1681" w:type="dxa"/>
            <w:vMerge w:val="restart"/>
            <w:shd w:val="clear" w:color="auto" w:fill="auto"/>
            <w:noWrap/>
            <w:vAlign w:val="bottom"/>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 </w:t>
            </w:r>
            <w:r w:rsidRPr="00B574C3">
              <w:rPr>
                <w:rFonts w:ascii="Times New Roman" w:eastAsia="Times New Roman" w:hAnsi="Times New Roman" w:cs="Times New Roman"/>
                <w:b/>
                <w:bCs/>
                <w:sz w:val="24"/>
                <w:szCs w:val="24"/>
                <w:lang w:eastAsia="ru-RU"/>
              </w:rPr>
              <w:t>Страны СНГ, Грузия и Абхазия</w:t>
            </w:r>
          </w:p>
        </w:tc>
        <w:tc>
          <w:tcPr>
            <w:tcW w:w="850"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 xml:space="preserve">2006 </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2007</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 xml:space="preserve">2008 </w:t>
            </w:r>
          </w:p>
        </w:tc>
        <w:tc>
          <w:tcPr>
            <w:tcW w:w="844"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2009</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2010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2011</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2012</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 xml:space="preserve">2013 </w:t>
            </w:r>
          </w:p>
        </w:tc>
        <w:tc>
          <w:tcPr>
            <w:tcW w:w="837"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 xml:space="preserve">2014 </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2015</w:t>
            </w:r>
          </w:p>
        </w:tc>
      </w:tr>
      <w:tr w:rsidR="009C1FAF" w:rsidRPr="00B574C3" w:rsidTr="00F8370A">
        <w:trPr>
          <w:trHeight w:val="755"/>
        </w:trPr>
        <w:tc>
          <w:tcPr>
            <w:tcW w:w="1681" w:type="dxa"/>
            <w:vMerge/>
            <w:shd w:val="clear" w:color="auto" w:fill="auto"/>
            <w:vAlign w:val="center"/>
            <w:hideMark/>
          </w:tcPr>
          <w:p w:rsidR="009C1FAF" w:rsidRPr="00B574C3" w:rsidRDefault="009C1FAF" w:rsidP="00F8370A">
            <w:pPr>
              <w:spacing w:after="0" w:line="240" w:lineRule="auto"/>
              <w:rPr>
                <w:rFonts w:ascii="Times New Roman" w:eastAsia="Times New Roman" w:hAnsi="Times New Roman" w:cs="Times New Roman"/>
                <w:b/>
                <w:bCs/>
                <w:sz w:val="24"/>
                <w:szCs w:val="24"/>
                <w:lang w:eastAsia="ru-RU"/>
              </w:rPr>
            </w:pPr>
          </w:p>
        </w:tc>
        <w:tc>
          <w:tcPr>
            <w:tcW w:w="850"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44"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7"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c>
          <w:tcPr>
            <w:tcW w:w="836" w:type="dxa"/>
            <w:shd w:val="clear" w:color="auto" w:fill="auto"/>
            <w:noWrap/>
            <w:vAlign w:val="center"/>
            <w:hideMark/>
          </w:tcPr>
          <w:p w:rsidR="009C1FAF" w:rsidRPr="00B574C3" w:rsidRDefault="009C1FAF" w:rsidP="00F8370A">
            <w:pPr>
              <w:spacing w:after="0" w:line="240" w:lineRule="auto"/>
              <w:jc w:val="center"/>
              <w:rPr>
                <w:rFonts w:ascii="Times New Roman" w:eastAsia="Times New Roman" w:hAnsi="Times New Roman" w:cs="Times New Roman"/>
                <w:b/>
                <w:bCs/>
                <w:sz w:val="24"/>
                <w:szCs w:val="24"/>
                <w:lang w:eastAsia="ru-RU"/>
              </w:rPr>
            </w:pPr>
            <w:r w:rsidRPr="00B574C3">
              <w:rPr>
                <w:rFonts w:ascii="Times New Roman" w:eastAsia="Times New Roman" w:hAnsi="Times New Roman" w:cs="Times New Roman"/>
                <w:b/>
                <w:bCs/>
                <w:sz w:val="24"/>
                <w:szCs w:val="24"/>
                <w:lang w:eastAsia="ru-RU"/>
              </w:rPr>
              <w:t>100%</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Абхазия</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Азербайджан</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Армения</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Беларусь</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Грузия</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Казахстан</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Киргизия</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Молдова</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Таджикистан</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0%</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Туркмени</w:t>
            </w:r>
            <w:r>
              <w:rPr>
                <w:rFonts w:ascii="Times New Roman" w:eastAsia="Times New Roman" w:hAnsi="Times New Roman" w:cs="Times New Roman"/>
                <w:sz w:val="24"/>
                <w:szCs w:val="24"/>
                <w:lang w:eastAsia="ru-RU"/>
              </w:rPr>
              <w:t>стан</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r>
      <w:tr w:rsidR="009C1FAF" w:rsidRPr="00B574C3" w:rsidTr="00F8370A">
        <w:trPr>
          <w:trHeight w:val="255"/>
        </w:trPr>
        <w:tc>
          <w:tcPr>
            <w:tcW w:w="1681" w:type="dxa"/>
            <w:shd w:val="clear" w:color="auto" w:fill="D9D9D9" w:themeFill="background1" w:themeFillShade="D9"/>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Узбекистан</w:t>
            </w:r>
          </w:p>
        </w:tc>
        <w:tc>
          <w:tcPr>
            <w:tcW w:w="850"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44"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6%</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7"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c>
          <w:tcPr>
            <w:tcW w:w="836" w:type="dxa"/>
            <w:shd w:val="clear" w:color="auto" w:fill="D9D9D9" w:themeFill="background1" w:themeFillShade="D9"/>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3%</w:t>
            </w:r>
          </w:p>
        </w:tc>
      </w:tr>
      <w:tr w:rsidR="009C1FAF" w:rsidRPr="00B574C3" w:rsidTr="00F8370A">
        <w:trPr>
          <w:trHeight w:val="255"/>
        </w:trPr>
        <w:tc>
          <w:tcPr>
            <w:tcW w:w="1681" w:type="dxa"/>
            <w:shd w:val="clear" w:color="000000" w:fill="FFFFFF"/>
            <w:vAlign w:val="center"/>
            <w:hideMark/>
          </w:tcPr>
          <w:p w:rsidR="009C1FAF" w:rsidRPr="00B574C3" w:rsidRDefault="009C1FAF" w:rsidP="00F8370A">
            <w:pPr>
              <w:spacing w:after="0" w:line="240" w:lineRule="auto"/>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Украина</w:t>
            </w:r>
          </w:p>
        </w:tc>
        <w:tc>
          <w:tcPr>
            <w:tcW w:w="850"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4%</w:t>
            </w:r>
          </w:p>
        </w:tc>
        <w:tc>
          <w:tcPr>
            <w:tcW w:w="844"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7%</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5%</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9%</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1%</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2%</w:t>
            </w:r>
          </w:p>
        </w:tc>
        <w:tc>
          <w:tcPr>
            <w:tcW w:w="837"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c>
          <w:tcPr>
            <w:tcW w:w="836" w:type="dxa"/>
            <w:shd w:val="clear" w:color="000000" w:fill="FFFFFF"/>
            <w:vAlign w:val="center"/>
            <w:hideMark/>
          </w:tcPr>
          <w:p w:rsidR="009C1FAF" w:rsidRPr="00B574C3" w:rsidRDefault="009C1FAF" w:rsidP="00F8370A">
            <w:pPr>
              <w:spacing w:after="0" w:line="240" w:lineRule="auto"/>
              <w:jc w:val="center"/>
              <w:rPr>
                <w:rFonts w:ascii="Times New Roman" w:eastAsia="Times New Roman" w:hAnsi="Times New Roman" w:cs="Times New Roman"/>
                <w:sz w:val="24"/>
                <w:szCs w:val="24"/>
                <w:lang w:eastAsia="ru-RU"/>
              </w:rPr>
            </w:pPr>
            <w:r w:rsidRPr="00B574C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B574C3">
              <w:rPr>
                <w:rFonts w:ascii="Times New Roman" w:eastAsia="Times New Roman" w:hAnsi="Times New Roman" w:cs="Times New Roman"/>
                <w:sz w:val="24"/>
                <w:szCs w:val="24"/>
                <w:lang w:eastAsia="ru-RU"/>
              </w:rPr>
              <w:t>8%</w:t>
            </w:r>
          </w:p>
        </w:tc>
      </w:tr>
    </w:tbl>
    <w:p w:rsidR="009C1FAF" w:rsidRPr="00F115FA" w:rsidRDefault="009C1FAF" w:rsidP="009C1FAF">
      <w:pPr>
        <w:spacing w:after="0" w:line="360" w:lineRule="auto"/>
        <w:jc w:val="both"/>
        <w:rPr>
          <w:rFonts w:ascii="Times New Roman" w:hAnsi="Times New Roman" w:cs="Times New Roman"/>
          <w:sz w:val="24"/>
          <w:szCs w:val="28"/>
        </w:rPr>
      </w:pPr>
      <w:r w:rsidRPr="00B574C3">
        <w:rPr>
          <w:rFonts w:ascii="Times New Roman" w:hAnsi="Times New Roman" w:cs="Times New Roman"/>
          <w:sz w:val="24"/>
          <w:szCs w:val="28"/>
        </w:rPr>
        <w:t>Источник:</w:t>
      </w:r>
      <w:r w:rsidR="00F115FA">
        <w:rPr>
          <w:rFonts w:ascii="Times New Roman" w:hAnsi="Times New Roman" w:cs="Times New Roman"/>
          <w:sz w:val="24"/>
          <w:szCs w:val="28"/>
        </w:rPr>
        <w:t xml:space="preserve"> [1]</w:t>
      </w:r>
    </w:p>
    <w:p w:rsidR="009C1FAF" w:rsidRPr="009C1FAF" w:rsidRDefault="009C1FAF" w:rsidP="001E545E">
      <w:pPr>
        <w:spacing w:after="0" w:line="240" w:lineRule="auto"/>
        <w:ind w:firstLine="709"/>
        <w:jc w:val="both"/>
        <w:rPr>
          <w:rFonts w:ascii="Times New Roman" w:hAnsi="Times New Roman" w:cs="Times New Roman"/>
          <w:sz w:val="24"/>
          <w:szCs w:val="28"/>
        </w:rPr>
      </w:pPr>
      <w:r w:rsidRPr="009C1FAF">
        <w:rPr>
          <w:rFonts w:ascii="Times New Roman" w:hAnsi="Times New Roman" w:cs="Times New Roman"/>
          <w:sz w:val="24"/>
          <w:szCs w:val="28"/>
        </w:rPr>
        <w:t>Денежные переводы являются уникальным индикатором помогающим понять экономику стран, в которую направляются эти потоки, но и служат неплохим показателем состояния экономики донора. К примеру, из динамики средней суммы перевода трудовых мигрантов можно сделать однозначный вывод, зарабатывать в России становится сложнее и менее выгодно, о чем свидетельствует снижение динамики среднего денежного перевода. Так, практически по всем странам наблюдается сокращение, при этом наибольшее снижение наблюдается для Армении (см. рис.</w:t>
      </w:r>
      <w:r>
        <w:rPr>
          <w:rFonts w:ascii="Times New Roman" w:hAnsi="Times New Roman" w:cs="Times New Roman"/>
          <w:sz w:val="24"/>
          <w:szCs w:val="28"/>
        </w:rPr>
        <w:t>2</w:t>
      </w:r>
      <w:r w:rsidRPr="009C1FAF">
        <w:rPr>
          <w:rFonts w:ascii="Times New Roman" w:hAnsi="Times New Roman" w:cs="Times New Roman"/>
          <w:sz w:val="24"/>
          <w:szCs w:val="28"/>
        </w:rPr>
        <w:t xml:space="preserve">). Это может объясняться как тем, что такую же сумму можно заработать как у себя на Родине, так и переориентацией </w:t>
      </w:r>
      <w:r w:rsidRPr="009C1FAF">
        <w:rPr>
          <w:rFonts w:ascii="Times New Roman" w:hAnsi="Times New Roman" w:cs="Times New Roman"/>
          <w:sz w:val="24"/>
          <w:szCs w:val="28"/>
        </w:rPr>
        <w:lastRenderedPageBreak/>
        <w:t>армянских трудовых мигрантов в более благополучные страны Европы или американского континента. Та же динамика наблюдается для других стран, исключение лишь Таджикистан. Экономическая ситуация в стране настолько не благополучна, что даже при существенном снижении суммы перевода в среднем, этот уровень остается более благоприятным нежели уровень заработной платы в стране.</w:t>
      </w:r>
    </w:p>
    <w:p w:rsidR="009C1FAF" w:rsidRDefault="009C1FAF" w:rsidP="001E545E">
      <w:pPr>
        <w:spacing w:after="0" w:line="240" w:lineRule="auto"/>
        <w:ind w:firstLine="709"/>
        <w:jc w:val="both"/>
        <w:rPr>
          <w:rFonts w:ascii="Times New Roman" w:hAnsi="Times New Roman" w:cs="Times New Roman"/>
          <w:color w:val="FF0000"/>
          <w:sz w:val="24"/>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1FAF" w:rsidTr="00F8370A">
        <w:trPr>
          <w:trHeight w:val="2999"/>
        </w:trPr>
        <w:tc>
          <w:tcPr>
            <w:tcW w:w="4785"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4A9E6593" wp14:editId="39AB89ED">
                  <wp:extent cx="2828925" cy="1843088"/>
                  <wp:effectExtent l="0" t="0" r="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786"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04D7148E" wp14:editId="4A3C3BB1">
                  <wp:extent cx="2828925" cy="1843088"/>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C1FAF" w:rsidTr="00F8370A">
        <w:tc>
          <w:tcPr>
            <w:tcW w:w="4785"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03CAC04F" wp14:editId="1440435C">
                  <wp:extent cx="2828925" cy="1843088"/>
                  <wp:effectExtent l="0" t="0" r="0"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786"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0064DDCB" wp14:editId="389D5F28">
                  <wp:extent cx="2828925" cy="1843088"/>
                  <wp:effectExtent l="0" t="0" r="0" b="50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C1FAF" w:rsidTr="00F8370A">
        <w:tc>
          <w:tcPr>
            <w:tcW w:w="4785"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08585408" wp14:editId="3F9C783E">
                  <wp:extent cx="2828925" cy="1843088"/>
                  <wp:effectExtent l="0" t="0" r="0"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786"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70BDCB58" wp14:editId="3C2EF398">
                  <wp:extent cx="2828925" cy="1843088"/>
                  <wp:effectExtent l="0" t="0" r="0" b="50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C1FAF" w:rsidTr="00F8370A">
        <w:tc>
          <w:tcPr>
            <w:tcW w:w="4785"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7043D506" wp14:editId="755039F8">
                  <wp:extent cx="2828925" cy="1843088"/>
                  <wp:effectExtent l="0" t="0" r="0" b="50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786" w:type="dxa"/>
          </w:tcPr>
          <w:p w:rsidR="009C1FAF" w:rsidRDefault="009C1FAF" w:rsidP="001E545E">
            <w:pPr>
              <w:jc w:val="both"/>
              <w:rPr>
                <w:rFonts w:ascii="Times New Roman" w:hAnsi="Times New Roman" w:cs="Times New Roman"/>
                <w:color w:val="FF0000"/>
                <w:sz w:val="24"/>
                <w:szCs w:val="28"/>
              </w:rPr>
            </w:pPr>
            <w:r>
              <w:rPr>
                <w:noProof/>
                <w:lang w:eastAsia="ru-RU"/>
              </w:rPr>
              <w:drawing>
                <wp:inline distT="0" distB="0" distL="0" distR="0" wp14:anchorId="21CCC36D" wp14:editId="4771E877">
                  <wp:extent cx="2828925" cy="1843088"/>
                  <wp:effectExtent l="0" t="0" r="0" b="50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E545E" w:rsidRDefault="001E545E" w:rsidP="001E545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Источник: составлено по [1], [2]</w:t>
      </w:r>
    </w:p>
    <w:p w:rsidR="009C1FAF" w:rsidRPr="009C1FAF" w:rsidRDefault="009C1FAF" w:rsidP="001E545E">
      <w:pPr>
        <w:spacing w:after="0" w:line="240" w:lineRule="auto"/>
        <w:jc w:val="both"/>
        <w:rPr>
          <w:rFonts w:ascii="Times New Roman" w:hAnsi="Times New Roman" w:cs="Times New Roman"/>
          <w:sz w:val="24"/>
          <w:szCs w:val="28"/>
        </w:rPr>
      </w:pPr>
      <w:r w:rsidRPr="009C1FAF">
        <w:rPr>
          <w:rFonts w:ascii="Times New Roman" w:hAnsi="Times New Roman" w:cs="Times New Roman"/>
          <w:sz w:val="24"/>
          <w:szCs w:val="28"/>
        </w:rPr>
        <w:t xml:space="preserve">Рисунок </w:t>
      </w:r>
      <w:r w:rsidRPr="009C1FAF">
        <w:rPr>
          <w:rFonts w:ascii="Times New Roman" w:hAnsi="Times New Roman" w:cs="Times New Roman"/>
          <w:sz w:val="24"/>
          <w:szCs w:val="28"/>
        </w:rPr>
        <w:fldChar w:fldCharType="begin"/>
      </w:r>
      <w:r w:rsidRPr="009C1FAF">
        <w:rPr>
          <w:rFonts w:ascii="Times New Roman" w:hAnsi="Times New Roman" w:cs="Times New Roman"/>
          <w:sz w:val="24"/>
          <w:szCs w:val="28"/>
        </w:rPr>
        <w:instrText xml:space="preserve"> SEQ Рисунок \* ARABIC </w:instrText>
      </w:r>
      <w:r w:rsidRPr="009C1FAF">
        <w:rPr>
          <w:rFonts w:ascii="Times New Roman" w:hAnsi="Times New Roman" w:cs="Times New Roman"/>
          <w:sz w:val="24"/>
          <w:szCs w:val="28"/>
        </w:rPr>
        <w:fldChar w:fldCharType="separate"/>
      </w:r>
      <w:r w:rsidRPr="009C1FAF">
        <w:rPr>
          <w:rFonts w:ascii="Times New Roman" w:hAnsi="Times New Roman" w:cs="Times New Roman"/>
          <w:noProof/>
          <w:sz w:val="24"/>
          <w:szCs w:val="28"/>
        </w:rPr>
        <w:t>2</w:t>
      </w:r>
      <w:r w:rsidRPr="009C1FAF">
        <w:rPr>
          <w:rFonts w:ascii="Times New Roman" w:hAnsi="Times New Roman" w:cs="Times New Roman"/>
          <w:sz w:val="24"/>
          <w:szCs w:val="28"/>
        </w:rPr>
        <w:fldChar w:fldCharType="end"/>
      </w:r>
      <w:r w:rsidR="001E545E">
        <w:rPr>
          <w:rFonts w:ascii="Times New Roman" w:hAnsi="Times New Roman" w:cs="Times New Roman"/>
          <w:sz w:val="24"/>
          <w:szCs w:val="28"/>
        </w:rPr>
        <w:t>.</w:t>
      </w:r>
      <w:r w:rsidRPr="009C1FAF">
        <w:rPr>
          <w:rFonts w:ascii="Times New Roman" w:hAnsi="Times New Roman" w:cs="Times New Roman"/>
          <w:sz w:val="24"/>
          <w:szCs w:val="28"/>
        </w:rPr>
        <w:t xml:space="preserve"> Сравнительная динамика между средней суммы перевода из России в страны СНГ и уровнем зарплаты</w:t>
      </w:r>
    </w:p>
    <w:p w:rsidR="001E545E" w:rsidRDefault="001E545E" w:rsidP="001E545E">
      <w:pPr>
        <w:spacing w:after="0" w:line="240" w:lineRule="auto"/>
        <w:ind w:firstLine="709"/>
        <w:jc w:val="both"/>
        <w:rPr>
          <w:rFonts w:ascii="Times New Roman" w:hAnsi="Times New Roman" w:cs="Times New Roman"/>
          <w:sz w:val="24"/>
          <w:szCs w:val="28"/>
        </w:rPr>
      </w:pPr>
    </w:p>
    <w:p w:rsidR="009C1FAF" w:rsidRDefault="009C1FAF" w:rsidP="001E545E">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О связи экономики России и стран бывших союзных республик свидетельствует и корреляционный анализ. Так, интересный результат был получен при анализе экономического роста и их зависимости между странами некогда одного государства. Полученная матрица корреляции между ВВП по странам СНГ и Грузии показала о высокой зависимости между экономиками этих стран. При этом государства наиболее территориально удаленные друг от друга, связаны между собой</w:t>
      </w:r>
      <w:r w:rsidRPr="009C1FAF">
        <w:rPr>
          <w:rFonts w:ascii="Times New Roman" w:hAnsi="Times New Roman" w:cs="Times New Roman"/>
          <w:sz w:val="24"/>
          <w:szCs w:val="28"/>
        </w:rPr>
        <w:t xml:space="preserve"> </w:t>
      </w:r>
      <w:r>
        <w:rPr>
          <w:rFonts w:ascii="Times New Roman" w:hAnsi="Times New Roman" w:cs="Times New Roman"/>
          <w:sz w:val="24"/>
          <w:szCs w:val="28"/>
        </w:rPr>
        <w:t>меньшим взаимодействием. Например, Украина в значительно меньшей степени взаимосвязана с экономиками стран Центральной Азии и Азербайджаном (см. табл.</w:t>
      </w:r>
      <w:r w:rsidR="001E545E">
        <w:rPr>
          <w:rFonts w:ascii="Times New Roman" w:hAnsi="Times New Roman" w:cs="Times New Roman"/>
          <w:sz w:val="24"/>
          <w:szCs w:val="28"/>
        </w:rPr>
        <w:t>2</w:t>
      </w:r>
      <w:r>
        <w:rPr>
          <w:rFonts w:ascii="Times New Roman" w:hAnsi="Times New Roman" w:cs="Times New Roman"/>
          <w:sz w:val="24"/>
          <w:szCs w:val="28"/>
        </w:rPr>
        <w:t xml:space="preserve">), нежели со странами территориально близкими к ней. </w:t>
      </w:r>
    </w:p>
    <w:p w:rsidR="001E545E" w:rsidRDefault="009C1FAF" w:rsidP="001E545E">
      <w:pPr>
        <w:spacing w:after="0" w:line="240" w:lineRule="auto"/>
        <w:jc w:val="right"/>
        <w:rPr>
          <w:rFonts w:ascii="Times New Roman" w:hAnsi="Times New Roman" w:cs="Times New Roman"/>
          <w:b/>
          <w:bCs/>
          <w:sz w:val="24"/>
          <w:szCs w:val="28"/>
        </w:rPr>
      </w:pPr>
      <w:r w:rsidRPr="00B574C3">
        <w:rPr>
          <w:rFonts w:ascii="Times New Roman" w:hAnsi="Times New Roman" w:cs="Times New Roman"/>
          <w:sz w:val="24"/>
          <w:szCs w:val="28"/>
        </w:rPr>
        <w:t xml:space="preserve">Таблица </w:t>
      </w:r>
      <w:r w:rsidRPr="00B574C3">
        <w:rPr>
          <w:rFonts w:ascii="Times New Roman" w:hAnsi="Times New Roman" w:cs="Times New Roman"/>
          <w:b/>
          <w:bCs/>
          <w:sz w:val="24"/>
          <w:szCs w:val="28"/>
        </w:rPr>
        <w:fldChar w:fldCharType="begin"/>
      </w:r>
      <w:r w:rsidRPr="00B574C3">
        <w:rPr>
          <w:rFonts w:ascii="Times New Roman" w:hAnsi="Times New Roman" w:cs="Times New Roman"/>
          <w:sz w:val="24"/>
          <w:szCs w:val="28"/>
        </w:rPr>
        <w:instrText xml:space="preserve"> SEQ Таблица \* ARABIC </w:instrText>
      </w:r>
      <w:r w:rsidRPr="00B574C3">
        <w:rPr>
          <w:rFonts w:ascii="Times New Roman" w:hAnsi="Times New Roman" w:cs="Times New Roman"/>
          <w:b/>
          <w:bCs/>
          <w:sz w:val="24"/>
          <w:szCs w:val="28"/>
        </w:rPr>
        <w:fldChar w:fldCharType="separate"/>
      </w:r>
      <w:r>
        <w:rPr>
          <w:rFonts w:ascii="Times New Roman" w:hAnsi="Times New Roman" w:cs="Times New Roman"/>
          <w:noProof/>
          <w:sz w:val="24"/>
          <w:szCs w:val="28"/>
        </w:rPr>
        <w:t>2</w:t>
      </w:r>
      <w:r w:rsidRPr="00B574C3">
        <w:rPr>
          <w:rFonts w:ascii="Times New Roman" w:hAnsi="Times New Roman" w:cs="Times New Roman"/>
          <w:b/>
          <w:bCs/>
          <w:sz w:val="24"/>
          <w:szCs w:val="28"/>
        </w:rPr>
        <w:fldChar w:fldCharType="end"/>
      </w:r>
    </w:p>
    <w:p w:rsidR="009C1FAF" w:rsidRDefault="009C1FAF" w:rsidP="001E545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Корреляционная матрица зависимости экономик между </w:t>
      </w:r>
      <w:r w:rsidR="00F115FA">
        <w:rPr>
          <w:rFonts w:ascii="Times New Roman" w:hAnsi="Times New Roman" w:cs="Times New Roman"/>
          <w:sz w:val="24"/>
          <w:szCs w:val="28"/>
        </w:rPr>
        <w:t>бывшими союзными республиками</w:t>
      </w:r>
      <w:r>
        <w:rPr>
          <w:rFonts w:ascii="Times New Roman" w:hAnsi="Times New Roman" w:cs="Times New Roman"/>
          <w:sz w:val="24"/>
          <w:szCs w:val="28"/>
        </w:rPr>
        <w:t xml:space="preserve"> </w:t>
      </w:r>
    </w:p>
    <w:tbl>
      <w:tblPr>
        <w:tblW w:w="10938" w:type="dxa"/>
        <w:tblInd w:w="-1026" w:type="dxa"/>
        <w:tblLayout w:type="fixed"/>
        <w:tblLook w:val="04A0" w:firstRow="1" w:lastRow="0" w:firstColumn="1" w:lastColumn="0" w:noHBand="0" w:noVBand="1"/>
      </w:tblPr>
      <w:tblGrid>
        <w:gridCol w:w="1608"/>
        <w:gridCol w:w="737"/>
        <w:gridCol w:w="710"/>
        <w:gridCol w:w="708"/>
        <w:gridCol w:w="851"/>
        <w:gridCol w:w="709"/>
        <w:gridCol w:w="850"/>
        <w:gridCol w:w="851"/>
        <w:gridCol w:w="850"/>
        <w:gridCol w:w="851"/>
        <w:gridCol w:w="795"/>
        <w:gridCol w:w="709"/>
        <w:gridCol w:w="709"/>
      </w:tblGrid>
      <w:tr w:rsidR="009C1FAF" w:rsidRPr="00557187" w:rsidTr="00F8370A">
        <w:trPr>
          <w:trHeight w:val="510"/>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center"/>
              <w:rPr>
                <w:rFonts w:ascii="Arial CYR" w:eastAsia="Times New Roman" w:hAnsi="Arial CYR" w:cs="Times New Roman"/>
                <w:i/>
                <w:iCs/>
                <w:sz w:val="20"/>
                <w:szCs w:val="20"/>
                <w:lang w:eastAsia="ru-RU"/>
              </w:rPr>
            </w:pPr>
            <w:r w:rsidRPr="00557187">
              <w:rPr>
                <w:rFonts w:ascii="Arial CYR" w:eastAsia="Times New Roman" w:hAnsi="Arial CYR" w:cs="Times New Roman"/>
                <w:i/>
                <w:iCs/>
                <w:sz w:val="20"/>
                <w:szCs w:val="20"/>
                <w:lang w:eastAsia="ru-RU"/>
              </w:rPr>
              <w:t> </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Азер</w:t>
            </w:r>
            <w:r>
              <w:rPr>
                <w:rFonts w:ascii="Times New Roman" w:eastAsia="Times New Roman" w:hAnsi="Times New Roman" w:cs="Times New Roman"/>
                <w:b/>
                <w:bCs/>
                <w:color w:val="000000"/>
                <w:sz w:val="20"/>
                <w:szCs w:val="20"/>
                <w:lang w:eastAsia="ru-RU"/>
              </w:rPr>
              <w:t>байджан</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Арм</w:t>
            </w:r>
            <w:r>
              <w:rPr>
                <w:rFonts w:ascii="Times New Roman" w:eastAsia="Times New Roman" w:hAnsi="Times New Roman" w:cs="Times New Roman"/>
                <w:b/>
                <w:bCs/>
                <w:color w:val="000000"/>
                <w:sz w:val="20"/>
                <w:szCs w:val="20"/>
                <w:lang w:eastAsia="ru-RU"/>
              </w:rPr>
              <w:t>ения</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Бел</w:t>
            </w:r>
            <w:r>
              <w:rPr>
                <w:rFonts w:ascii="Times New Roman" w:eastAsia="Times New Roman" w:hAnsi="Times New Roman" w:cs="Times New Roman"/>
                <w:b/>
                <w:bCs/>
                <w:color w:val="000000"/>
                <w:sz w:val="20"/>
                <w:szCs w:val="20"/>
                <w:lang w:eastAsia="ru-RU"/>
              </w:rPr>
              <w:t>арусь</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Грузия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К</w:t>
            </w:r>
            <w:r>
              <w:rPr>
                <w:rFonts w:ascii="Times New Roman" w:eastAsia="Times New Roman" w:hAnsi="Times New Roman" w:cs="Times New Roman"/>
                <w:b/>
                <w:bCs/>
                <w:color w:val="000000"/>
                <w:sz w:val="20"/>
                <w:szCs w:val="20"/>
                <w:lang w:eastAsia="ru-RU"/>
              </w:rPr>
              <w:t>иргизия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Каз</w:t>
            </w:r>
            <w:r>
              <w:rPr>
                <w:rFonts w:ascii="Times New Roman" w:eastAsia="Times New Roman" w:hAnsi="Times New Roman" w:cs="Times New Roman"/>
                <w:b/>
                <w:bCs/>
                <w:color w:val="000000"/>
                <w:sz w:val="20"/>
                <w:szCs w:val="20"/>
                <w:lang w:eastAsia="ru-RU"/>
              </w:rPr>
              <w:t>ахстана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Молд</w:t>
            </w:r>
            <w:r>
              <w:rPr>
                <w:rFonts w:ascii="Times New Roman" w:eastAsia="Times New Roman" w:hAnsi="Times New Roman" w:cs="Times New Roman"/>
                <w:b/>
                <w:bCs/>
                <w:color w:val="000000"/>
                <w:sz w:val="20"/>
                <w:szCs w:val="20"/>
                <w:lang w:eastAsia="ru-RU"/>
              </w:rPr>
              <w:t>авия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Тадж</w:t>
            </w:r>
            <w:r>
              <w:rPr>
                <w:rFonts w:ascii="Times New Roman" w:eastAsia="Times New Roman" w:hAnsi="Times New Roman" w:cs="Times New Roman"/>
                <w:b/>
                <w:bCs/>
                <w:color w:val="000000"/>
                <w:sz w:val="20"/>
                <w:szCs w:val="20"/>
                <w:lang w:eastAsia="ru-RU"/>
              </w:rPr>
              <w:t>икистан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Туркм</w:t>
            </w:r>
            <w:r>
              <w:rPr>
                <w:rFonts w:ascii="Times New Roman" w:eastAsia="Times New Roman" w:hAnsi="Times New Roman" w:cs="Times New Roman"/>
                <w:b/>
                <w:bCs/>
                <w:color w:val="000000"/>
                <w:sz w:val="20"/>
                <w:szCs w:val="20"/>
                <w:lang w:eastAsia="ru-RU"/>
              </w:rPr>
              <w:t>енистан</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Узб</w:t>
            </w:r>
            <w:r>
              <w:rPr>
                <w:rFonts w:ascii="Times New Roman" w:eastAsia="Times New Roman" w:hAnsi="Times New Roman" w:cs="Times New Roman"/>
                <w:b/>
                <w:bCs/>
                <w:color w:val="000000"/>
                <w:sz w:val="20"/>
                <w:szCs w:val="20"/>
                <w:lang w:eastAsia="ru-RU"/>
              </w:rPr>
              <w:t>екистан</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Укр</w:t>
            </w:r>
            <w:r>
              <w:rPr>
                <w:rFonts w:ascii="Times New Roman" w:eastAsia="Times New Roman" w:hAnsi="Times New Roman" w:cs="Times New Roman"/>
                <w:b/>
                <w:bCs/>
                <w:color w:val="000000"/>
                <w:sz w:val="20"/>
                <w:szCs w:val="20"/>
                <w:lang w:eastAsia="ru-RU"/>
              </w:rPr>
              <w:t>аина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РФ</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Азер</w:t>
            </w:r>
            <w:r>
              <w:rPr>
                <w:rFonts w:ascii="Times New Roman" w:eastAsia="Times New Roman" w:hAnsi="Times New Roman" w:cs="Times New Roman"/>
                <w:b/>
                <w:bCs/>
                <w:color w:val="000000"/>
                <w:sz w:val="20"/>
                <w:szCs w:val="20"/>
                <w:lang w:eastAsia="ru-RU"/>
              </w:rPr>
              <w:t>байджан</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Арм</w:t>
            </w:r>
            <w:r>
              <w:rPr>
                <w:rFonts w:ascii="Times New Roman" w:eastAsia="Times New Roman" w:hAnsi="Times New Roman" w:cs="Times New Roman"/>
                <w:b/>
                <w:bCs/>
                <w:color w:val="000000"/>
                <w:sz w:val="20"/>
                <w:szCs w:val="20"/>
                <w:lang w:eastAsia="ru-RU"/>
              </w:rPr>
              <w:t>ения</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0.94</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Бел</w:t>
            </w:r>
            <w:r>
              <w:rPr>
                <w:rFonts w:ascii="Times New Roman" w:eastAsia="Times New Roman" w:hAnsi="Times New Roman" w:cs="Times New Roman"/>
                <w:b/>
                <w:bCs/>
                <w:color w:val="000000"/>
                <w:sz w:val="20"/>
                <w:szCs w:val="20"/>
                <w:lang w:eastAsia="ru-RU"/>
              </w:rPr>
              <w:t>арусь</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300"/>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Грузи</w:t>
            </w:r>
            <w:r>
              <w:rPr>
                <w:rFonts w:ascii="Times New Roman" w:eastAsia="Times New Roman" w:hAnsi="Times New Roman" w:cs="Times New Roman"/>
                <w:b/>
                <w:bCs/>
                <w:color w:val="000000"/>
                <w:sz w:val="20"/>
                <w:szCs w:val="20"/>
                <w:lang w:eastAsia="ru-RU"/>
              </w:rPr>
              <w:t>я</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К</w:t>
            </w:r>
            <w:r>
              <w:rPr>
                <w:rFonts w:ascii="Times New Roman" w:eastAsia="Times New Roman" w:hAnsi="Times New Roman" w:cs="Times New Roman"/>
                <w:b/>
                <w:bCs/>
                <w:color w:val="000000"/>
                <w:sz w:val="20"/>
                <w:szCs w:val="20"/>
                <w:lang w:eastAsia="ru-RU"/>
              </w:rPr>
              <w:t>иргизия</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0.94</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Каз</w:t>
            </w:r>
            <w:r>
              <w:rPr>
                <w:rFonts w:ascii="Times New Roman" w:eastAsia="Times New Roman" w:hAnsi="Times New Roman" w:cs="Times New Roman"/>
                <w:b/>
                <w:bCs/>
                <w:color w:val="000000"/>
                <w:sz w:val="20"/>
                <w:szCs w:val="20"/>
                <w:lang w:eastAsia="ru-RU"/>
              </w:rPr>
              <w:t>ахстан</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0.93</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Молд</w:t>
            </w:r>
            <w:r>
              <w:rPr>
                <w:rFonts w:ascii="Times New Roman" w:eastAsia="Times New Roman" w:hAnsi="Times New Roman" w:cs="Times New Roman"/>
                <w:b/>
                <w:bCs/>
                <w:color w:val="000000"/>
                <w:sz w:val="20"/>
                <w:szCs w:val="20"/>
                <w:lang w:eastAsia="ru-RU"/>
              </w:rPr>
              <w:t>авия</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0.96</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Тадж</w:t>
            </w:r>
            <w:r>
              <w:rPr>
                <w:rFonts w:ascii="Times New Roman" w:eastAsia="Times New Roman" w:hAnsi="Times New Roman" w:cs="Times New Roman"/>
                <w:b/>
                <w:bCs/>
                <w:color w:val="000000"/>
                <w:sz w:val="20"/>
                <w:szCs w:val="20"/>
                <w:lang w:eastAsia="ru-RU"/>
              </w:rPr>
              <w:t>икистан</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0.92</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40"/>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Туркм</w:t>
            </w:r>
            <w:r>
              <w:rPr>
                <w:rFonts w:ascii="Times New Roman" w:eastAsia="Times New Roman" w:hAnsi="Times New Roman" w:cs="Times New Roman"/>
                <w:b/>
                <w:bCs/>
                <w:color w:val="000000"/>
                <w:sz w:val="20"/>
                <w:szCs w:val="20"/>
                <w:lang w:eastAsia="ru-RU"/>
              </w:rPr>
              <w:t>енистан</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0.96</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0.86</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0.94</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0.95</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0.95</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Узб</w:t>
            </w:r>
            <w:r>
              <w:rPr>
                <w:rFonts w:ascii="Times New Roman" w:eastAsia="Times New Roman" w:hAnsi="Times New Roman" w:cs="Times New Roman"/>
                <w:b/>
                <w:bCs/>
                <w:color w:val="000000"/>
                <w:sz w:val="20"/>
                <w:szCs w:val="20"/>
                <w:lang w:eastAsia="ru-RU"/>
              </w:rPr>
              <w:t>екистан</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0.86</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0.93</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0.95</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0.96</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Укр</w:t>
            </w:r>
            <w:r>
              <w:rPr>
                <w:rFonts w:ascii="Times New Roman" w:eastAsia="Times New Roman" w:hAnsi="Times New Roman" w:cs="Times New Roman"/>
                <w:b/>
                <w:bCs/>
                <w:color w:val="000000"/>
                <w:sz w:val="20"/>
                <w:szCs w:val="20"/>
                <w:lang w:eastAsia="ru-RU"/>
              </w:rPr>
              <w:t>аина</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0.90</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0.93</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0.94</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0.90</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0.90</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0.92</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0.86</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0.79</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0.79</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 </w:t>
            </w:r>
          </w:p>
        </w:tc>
      </w:tr>
      <w:tr w:rsidR="009C1FAF" w:rsidRPr="00557187" w:rsidTr="00F8370A">
        <w:trPr>
          <w:trHeight w:val="255"/>
        </w:trPr>
        <w:tc>
          <w:tcPr>
            <w:tcW w:w="1608" w:type="dxa"/>
            <w:tcBorders>
              <w:top w:val="nil"/>
              <w:left w:val="single" w:sz="4" w:space="0" w:color="auto"/>
              <w:bottom w:val="single" w:sz="4" w:space="0" w:color="auto"/>
              <w:right w:val="single" w:sz="4" w:space="0" w:color="auto"/>
            </w:tcBorders>
            <w:shd w:val="clear" w:color="000000" w:fill="FFFFFF"/>
            <w:vAlign w:val="center"/>
            <w:hideMark/>
          </w:tcPr>
          <w:p w:rsidR="009C1FAF" w:rsidRPr="00557187" w:rsidRDefault="009C1FAF" w:rsidP="001E545E">
            <w:pPr>
              <w:spacing w:after="0" w:line="240" w:lineRule="auto"/>
              <w:rPr>
                <w:rFonts w:ascii="Times New Roman" w:eastAsia="Times New Roman" w:hAnsi="Times New Roman" w:cs="Times New Roman"/>
                <w:b/>
                <w:bCs/>
                <w:color w:val="000000"/>
                <w:sz w:val="20"/>
                <w:szCs w:val="20"/>
                <w:lang w:eastAsia="ru-RU"/>
              </w:rPr>
            </w:pPr>
            <w:r w:rsidRPr="00557187">
              <w:rPr>
                <w:rFonts w:ascii="Times New Roman" w:eastAsia="Times New Roman" w:hAnsi="Times New Roman" w:cs="Times New Roman"/>
                <w:b/>
                <w:bCs/>
                <w:color w:val="000000"/>
                <w:sz w:val="20"/>
                <w:szCs w:val="20"/>
                <w:lang w:eastAsia="ru-RU"/>
              </w:rPr>
              <w:t>РФ</w:t>
            </w:r>
          </w:p>
        </w:tc>
        <w:tc>
          <w:tcPr>
            <w:tcW w:w="737"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71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708"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0.98</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0.99</w:t>
            </w:r>
          </w:p>
        </w:tc>
        <w:tc>
          <w:tcPr>
            <w:tcW w:w="850"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0.96</w:t>
            </w:r>
          </w:p>
        </w:tc>
        <w:tc>
          <w:tcPr>
            <w:tcW w:w="851"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0.91</w:t>
            </w:r>
          </w:p>
        </w:tc>
        <w:tc>
          <w:tcPr>
            <w:tcW w:w="795"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0.92</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0.97</w:t>
            </w:r>
          </w:p>
        </w:tc>
        <w:tc>
          <w:tcPr>
            <w:tcW w:w="709" w:type="dxa"/>
            <w:tcBorders>
              <w:top w:val="nil"/>
              <w:left w:val="nil"/>
              <w:bottom w:val="single" w:sz="4" w:space="0" w:color="auto"/>
              <w:right w:val="single" w:sz="4" w:space="0" w:color="auto"/>
            </w:tcBorders>
            <w:shd w:val="clear" w:color="auto" w:fill="auto"/>
            <w:noWrap/>
            <w:vAlign w:val="bottom"/>
            <w:hideMark/>
          </w:tcPr>
          <w:p w:rsidR="009C1FAF" w:rsidRPr="00557187" w:rsidRDefault="009C1FAF" w:rsidP="001E545E">
            <w:pPr>
              <w:spacing w:after="0" w:line="240" w:lineRule="auto"/>
              <w:jc w:val="right"/>
              <w:rPr>
                <w:rFonts w:ascii="Times New Roman" w:eastAsia="Times New Roman" w:hAnsi="Times New Roman" w:cs="Times New Roman"/>
                <w:lang w:eastAsia="ru-RU"/>
              </w:rPr>
            </w:pPr>
            <w:r w:rsidRPr="00557187">
              <w:rPr>
                <w:rFonts w:ascii="Times New Roman" w:eastAsia="Times New Roman" w:hAnsi="Times New Roman" w:cs="Times New Roman"/>
                <w:lang w:eastAsia="ru-RU"/>
              </w:rPr>
              <w:t>1</w:t>
            </w:r>
          </w:p>
        </w:tc>
      </w:tr>
    </w:tbl>
    <w:p w:rsidR="009C1FAF" w:rsidRDefault="001E545E" w:rsidP="001E545E">
      <w:pPr>
        <w:spacing w:after="0" w:line="240" w:lineRule="auto"/>
        <w:ind w:firstLine="708"/>
        <w:jc w:val="both"/>
        <w:rPr>
          <w:rFonts w:ascii="Times New Roman" w:hAnsi="Times New Roman" w:cs="Times New Roman"/>
          <w:sz w:val="24"/>
        </w:rPr>
      </w:pPr>
      <w:r>
        <w:rPr>
          <w:rFonts w:ascii="Times New Roman" w:hAnsi="Times New Roman" w:cs="Times New Roman"/>
          <w:sz w:val="24"/>
        </w:rPr>
        <w:t>Источник: расчеты авторов</w:t>
      </w:r>
    </w:p>
    <w:p w:rsidR="001E545E" w:rsidRDefault="001E545E" w:rsidP="001E545E">
      <w:pPr>
        <w:spacing w:after="0" w:line="240" w:lineRule="auto"/>
        <w:ind w:firstLine="709"/>
        <w:jc w:val="both"/>
        <w:rPr>
          <w:rFonts w:ascii="Times New Roman" w:hAnsi="Times New Roman" w:cs="Times New Roman"/>
          <w:sz w:val="24"/>
          <w:szCs w:val="28"/>
        </w:rPr>
      </w:pPr>
    </w:p>
    <w:p w:rsidR="009C1FAF" w:rsidRDefault="009C1FAF" w:rsidP="001E545E">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Тогда как страны Центральной Азии зависимым друг от друга в большей степени, нежели с другими странами бывшего СССР. Это объясняется как географической привязкой и использованием единой сетью природного ресурса – речных вод, так и единым комплексом советского наследия: дорог, связи, электрификации и т.д. Следует отметить, что мы анализировали и другие страны, далекие от исследуемых экономик, результат показал слабую связь с этими странами. Из чего можно заключить, что, несмотря</w:t>
      </w:r>
      <w:r w:rsidR="00F115FA">
        <w:rPr>
          <w:rFonts w:ascii="Times New Roman" w:hAnsi="Times New Roman" w:cs="Times New Roman"/>
          <w:sz w:val="24"/>
          <w:szCs w:val="28"/>
        </w:rPr>
        <w:t xml:space="preserve"> на 25 лет поиска стран бывших союзных республик,</w:t>
      </w:r>
      <w:r>
        <w:rPr>
          <w:rFonts w:ascii="Times New Roman" w:hAnsi="Times New Roman" w:cs="Times New Roman"/>
          <w:sz w:val="24"/>
          <w:szCs w:val="28"/>
        </w:rPr>
        <w:t xml:space="preserve"> новых торговых партнёров, ниш или других возможностей, экономическое воздействие и связи остаются тесными, взаимозависимыми и достаточно крепкими. При этом люди, прежде всего</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xml:space="preserve"> трудовые мигранты, являются некими ниточками связывающими это экономическое и географическое пространство. Полученный результат также свидетельствует о высоком потенциале для Евразийского сотрудничества не только между странами участницами, но и на территории всего постсоветского пространства.</w:t>
      </w:r>
    </w:p>
    <w:p w:rsidR="009C1FAF" w:rsidRDefault="009C1FAF" w:rsidP="001E545E">
      <w:pPr>
        <w:spacing w:after="0" w:line="240" w:lineRule="auto"/>
        <w:ind w:firstLine="709"/>
        <w:jc w:val="both"/>
        <w:rPr>
          <w:rFonts w:ascii="Times New Roman" w:hAnsi="Times New Roman" w:cs="Times New Roman"/>
          <w:sz w:val="24"/>
          <w:szCs w:val="28"/>
        </w:rPr>
      </w:pPr>
    </w:p>
    <w:p w:rsidR="001E545E" w:rsidRPr="001E545E" w:rsidRDefault="001E545E" w:rsidP="001E545E">
      <w:pPr>
        <w:spacing w:after="0" w:line="240" w:lineRule="auto"/>
        <w:jc w:val="center"/>
        <w:rPr>
          <w:rFonts w:ascii="Times New Roman" w:hAnsi="Times New Roman" w:cs="Times New Roman"/>
          <w:b/>
          <w:sz w:val="24"/>
          <w:szCs w:val="28"/>
        </w:rPr>
      </w:pPr>
      <w:r w:rsidRPr="001E545E">
        <w:rPr>
          <w:rFonts w:ascii="Times New Roman" w:hAnsi="Times New Roman" w:cs="Times New Roman"/>
          <w:b/>
          <w:sz w:val="24"/>
          <w:szCs w:val="28"/>
        </w:rPr>
        <w:t>Список использованных источников:</w:t>
      </w:r>
    </w:p>
    <w:p w:rsidR="001E545E" w:rsidRDefault="001E545E" w:rsidP="001E545E">
      <w:pPr>
        <w:spacing w:after="0" w:line="240" w:lineRule="auto"/>
        <w:ind w:firstLine="708"/>
        <w:jc w:val="both"/>
        <w:rPr>
          <w:rFonts w:ascii="Times New Roman" w:hAnsi="Times New Roman" w:cs="Times New Roman"/>
          <w:sz w:val="24"/>
          <w:szCs w:val="24"/>
        </w:rPr>
      </w:pPr>
      <w:r w:rsidRPr="00DD40B1">
        <w:rPr>
          <w:rFonts w:ascii="Times New Roman" w:hAnsi="Times New Roman" w:cs="Times New Roman"/>
          <w:sz w:val="24"/>
          <w:szCs w:val="24"/>
        </w:rPr>
        <w:t>1. Онлайн данные Центрального Банка РФ</w:t>
      </w:r>
      <w:r>
        <w:rPr>
          <w:rFonts w:ascii="Times New Roman" w:hAnsi="Times New Roman" w:cs="Times New Roman"/>
          <w:sz w:val="24"/>
          <w:szCs w:val="24"/>
        </w:rPr>
        <w:t xml:space="preserve"> </w:t>
      </w:r>
      <w:hyperlink r:id="rId17" w:history="1">
        <w:r w:rsidRPr="009A4CE8">
          <w:rPr>
            <w:rStyle w:val="a9"/>
            <w:rFonts w:ascii="Times New Roman" w:hAnsi="Times New Roman" w:cs="Times New Roman"/>
            <w:sz w:val="24"/>
            <w:szCs w:val="24"/>
          </w:rPr>
          <w:t>http://www.cbr.ru/</w:t>
        </w:r>
      </w:hyperlink>
      <w:r>
        <w:rPr>
          <w:rFonts w:ascii="Times New Roman" w:hAnsi="Times New Roman" w:cs="Times New Roman"/>
          <w:sz w:val="24"/>
          <w:szCs w:val="24"/>
        </w:rPr>
        <w:t xml:space="preserve"> </w:t>
      </w:r>
    </w:p>
    <w:p w:rsidR="001E545E" w:rsidRDefault="001E545E" w:rsidP="001E545E">
      <w:pPr>
        <w:spacing w:after="0" w:line="240" w:lineRule="auto"/>
        <w:jc w:val="both"/>
        <w:rPr>
          <w:rStyle w:val="a9"/>
          <w:rFonts w:ascii="Times New Roman" w:hAnsi="Times New Roman"/>
        </w:rPr>
      </w:pPr>
      <w:r>
        <w:rPr>
          <w:rFonts w:ascii="Times New Roman" w:hAnsi="Times New Roman" w:cs="Times New Roman"/>
          <w:sz w:val="24"/>
          <w:szCs w:val="24"/>
        </w:rPr>
        <w:tab/>
        <w:t xml:space="preserve">2. Данные </w:t>
      </w:r>
      <w:proofErr w:type="spellStart"/>
      <w:r>
        <w:rPr>
          <w:rFonts w:ascii="Times New Roman" w:hAnsi="Times New Roman" w:cs="Times New Roman"/>
          <w:sz w:val="24"/>
          <w:szCs w:val="24"/>
        </w:rPr>
        <w:t>Статкомитета</w:t>
      </w:r>
      <w:proofErr w:type="spellEnd"/>
      <w:r>
        <w:rPr>
          <w:rFonts w:ascii="Times New Roman" w:hAnsi="Times New Roman" w:cs="Times New Roman"/>
          <w:sz w:val="24"/>
          <w:szCs w:val="24"/>
        </w:rPr>
        <w:t xml:space="preserve"> СНГ </w:t>
      </w:r>
      <w:hyperlink r:id="rId18" w:history="1">
        <w:r w:rsidRPr="00C9214B">
          <w:rPr>
            <w:rStyle w:val="a9"/>
            <w:rFonts w:ascii="Times New Roman" w:hAnsi="Times New Roman"/>
            <w:lang w:val="en-US"/>
          </w:rPr>
          <w:t>www</w:t>
        </w:r>
        <w:r w:rsidRPr="00C9214B">
          <w:rPr>
            <w:rStyle w:val="a9"/>
            <w:rFonts w:ascii="Times New Roman" w:hAnsi="Times New Roman"/>
          </w:rPr>
          <w:t>.</w:t>
        </w:r>
        <w:proofErr w:type="spellStart"/>
        <w:r w:rsidRPr="00C9214B">
          <w:rPr>
            <w:rStyle w:val="a9"/>
            <w:rFonts w:ascii="Times New Roman" w:hAnsi="Times New Roman"/>
            <w:lang w:val="en-US"/>
          </w:rPr>
          <w:t>cisstat</w:t>
        </w:r>
        <w:proofErr w:type="spellEnd"/>
        <w:r w:rsidRPr="00C9214B">
          <w:rPr>
            <w:rStyle w:val="a9"/>
            <w:rFonts w:ascii="Times New Roman" w:hAnsi="Times New Roman"/>
          </w:rPr>
          <w:t>.</w:t>
        </w:r>
        <w:r w:rsidRPr="00C9214B">
          <w:rPr>
            <w:rStyle w:val="a9"/>
            <w:rFonts w:ascii="Times New Roman" w:hAnsi="Times New Roman"/>
            <w:lang w:val="en-US"/>
          </w:rPr>
          <w:t>com</w:t>
        </w:r>
      </w:hyperlink>
    </w:p>
    <w:p w:rsidR="001E545E" w:rsidRPr="001E545E" w:rsidRDefault="001E545E" w:rsidP="001E545E">
      <w:pPr>
        <w:pStyle w:val="a3"/>
        <w:jc w:val="both"/>
        <w:rPr>
          <w:rFonts w:ascii="Times New Roman" w:eastAsiaTheme="minorHAnsi" w:hAnsi="Times New Roman"/>
          <w:sz w:val="24"/>
          <w:szCs w:val="24"/>
          <w:lang w:val="en-US" w:eastAsia="en-US"/>
        </w:rPr>
      </w:pPr>
      <w:r w:rsidRPr="00DD40B1">
        <w:rPr>
          <w:rStyle w:val="a9"/>
          <w:rFonts w:ascii="Times New Roman" w:hAnsi="Times New Roman"/>
          <w:u w:val="none"/>
        </w:rPr>
        <w:tab/>
      </w:r>
      <w:r w:rsidRPr="00DD40B1">
        <w:rPr>
          <w:rFonts w:ascii="Times New Roman" w:eastAsiaTheme="minorHAnsi" w:hAnsi="Times New Roman"/>
          <w:sz w:val="24"/>
          <w:szCs w:val="24"/>
          <w:lang w:val="ru-RU" w:eastAsia="en-US"/>
        </w:rPr>
        <w:t xml:space="preserve">3. </w:t>
      </w:r>
      <w:proofErr w:type="spellStart"/>
      <w:r w:rsidRPr="00DD40B1">
        <w:rPr>
          <w:rFonts w:ascii="Times New Roman" w:eastAsiaTheme="minorHAnsi" w:hAnsi="Times New Roman"/>
          <w:sz w:val="24"/>
          <w:szCs w:val="24"/>
          <w:lang w:val="ru-RU" w:eastAsia="en-US"/>
        </w:rPr>
        <w:t>Чепель</w:t>
      </w:r>
      <w:proofErr w:type="spellEnd"/>
      <w:r w:rsidRPr="00DD40B1">
        <w:rPr>
          <w:rFonts w:ascii="Times New Roman" w:eastAsiaTheme="minorHAnsi" w:hAnsi="Times New Roman"/>
          <w:sz w:val="24"/>
          <w:szCs w:val="24"/>
          <w:lang w:val="ru-RU" w:eastAsia="en-US"/>
        </w:rPr>
        <w:t xml:space="preserve"> С.В., Бондаренко К. А. Является ли внешняя трудовая миграция фактором экономического роста. Эконометрический анализ и выводы для стран СНГ // Журнал новой экономической ассоциации. </w:t>
      </w:r>
      <w:r w:rsidRPr="001E545E">
        <w:rPr>
          <w:rFonts w:ascii="Times New Roman" w:eastAsiaTheme="minorHAnsi" w:hAnsi="Times New Roman"/>
          <w:sz w:val="24"/>
          <w:szCs w:val="24"/>
          <w:lang w:val="en-US" w:eastAsia="en-US"/>
        </w:rPr>
        <w:t xml:space="preserve">2015. №4 (28), </w:t>
      </w:r>
      <w:r w:rsidRPr="00DD40B1">
        <w:rPr>
          <w:rFonts w:ascii="Times New Roman" w:eastAsiaTheme="minorHAnsi" w:hAnsi="Times New Roman"/>
          <w:sz w:val="24"/>
          <w:szCs w:val="24"/>
          <w:lang w:val="ru-RU" w:eastAsia="en-US"/>
        </w:rPr>
        <w:t>С</w:t>
      </w:r>
      <w:r w:rsidRPr="001E545E">
        <w:rPr>
          <w:rFonts w:ascii="Times New Roman" w:eastAsiaTheme="minorHAnsi" w:hAnsi="Times New Roman"/>
          <w:sz w:val="24"/>
          <w:szCs w:val="24"/>
          <w:lang w:val="en-US" w:eastAsia="en-US"/>
        </w:rPr>
        <w:t>. 142-166.</w:t>
      </w:r>
    </w:p>
    <w:p w:rsidR="001E545E" w:rsidRDefault="001E545E" w:rsidP="001E545E">
      <w:pPr>
        <w:spacing w:after="0" w:line="240" w:lineRule="auto"/>
        <w:jc w:val="both"/>
        <w:rPr>
          <w:rFonts w:ascii="Times New Roman" w:hAnsi="Times New Roman" w:cs="Times New Roman"/>
          <w:sz w:val="24"/>
          <w:szCs w:val="24"/>
        </w:rPr>
      </w:pPr>
      <w:r w:rsidRPr="001E545E">
        <w:rPr>
          <w:rFonts w:ascii="Times New Roman" w:hAnsi="Times New Roman" w:cs="Times New Roman"/>
          <w:sz w:val="24"/>
          <w:szCs w:val="24"/>
          <w:lang w:val="en-US"/>
        </w:rPr>
        <w:tab/>
      </w:r>
      <w:r w:rsidRPr="00DD40B1">
        <w:rPr>
          <w:rFonts w:ascii="Times New Roman" w:hAnsi="Times New Roman" w:cs="Times New Roman"/>
          <w:sz w:val="24"/>
          <w:szCs w:val="24"/>
          <w:lang w:val="en-US"/>
        </w:rPr>
        <w:t xml:space="preserve">4. </w:t>
      </w:r>
      <w:proofErr w:type="spellStart"/>
      <w:r w:rsidRPr="00DD40B1">
        <w:rPr>
          <w:rFonts w:ascii="Times New Roman" w:hAnsi="Times New Roman" w:cs="Times New Roman"/>
          <w:sz w:val="24"/>
          <w:szCs w:val="24"/>
          <w:lang w:val="en-US"/>
        </w:rPr>
        <w:t>Atabaeva</w:t>
      </w:r>
      <w:proofErr w:type="spellEnd"/>
      <w:r w:rsidRPr="00DD40B1">
        <w:rPr>
          <w:rFonts w:ascii="Times New Roman" w:hAnsi="Times New Roman" w:cs="Times New Roman"/>
          <w:sz w:val="24"/>
          <w:szCs w:val="24"/>
          <w:lang w:val="en-US"/>
        </w:rPr>
        <w:t xml:space="preserve"> </w:t>
      </w:r>
      <w:proofErr w:type="spellStart"/>
      <w:r w:rsidRPr="00DD40B1">
        <w:rPr>
          <w:rFonts w:ascii="Times New Roman" w:hAnsi="Times New Roman" w:cs="Times New Roman"/>
          <w:sz w:val="24"/>
          <w:szCs w:val="24"/>
          <w:lang w:val="en-US"/>
        </w:rPr>
        <w:t>Gulnaz</w:t>
      </w:r>
      <w:proofErr w:type="spellEnd"/>
      <w:r w:rsidRPr="00DD40B1">
        <w:rPr>
          <w:rFonts w:ascii="Times New Roman" w:hAnsi="Times New Roman" w:cs="Times New Roman"/>
          <w:sz w:val="24"/>
          <w:szCs w:val="24"/>
          <w:lang w:val="en-US"/>
        </w:rPr>
        <w:t xml:space="preserve">. The role of remittances in the economic development of Kyrgyzstan // </w:t>
      </w:r>
      <w:r w:rsidR="00E57902">
        <w:fldChar w:fldCharType="begin"/>
      </w:r>
      <w:r w:rsidR="00E57902" w:rsidRPr="00E57902">
        <w:rPr>
          <w:lang w:val="en-US"/>
        </w:rPr>
        <w:instrText xml:space="preserve"> HYPERLINK "http://elibrary.ru/contents.asp?issueid=1548774" \o "</w:instrText>
      </w:r>
      <w:r w:rsidR="00E57902">
        <w:instrText>Оглавления</w:instrText>
      </w:r>
      <w:r w:rsidR="00E57902" w:rsidRPr="00E57902">
        <w:rPr>
          <w:lang w:val="en-US"/>
        </w:rPr>
        <w:instrText xml:space="preserve"> </w:instrText>
      </w:r>
      <w:r w:rsidR="00E57902">
        <w:instrText>выпусков</w:instrText>
      </w:r>
      <w:r w:rsidR="00E57902" w:rsidRPr="00E57902">
        <w:rPr>
          <w:lang w:val="en-US"/>
        </w:rPr>
        <w:instrText xml:space="preserve"> </w:instrText>
      </w:r>
      <w:r w:rsidR="00E57902">
        <w:instrText>этого</w:instrText>
      </w:r>
      <w:r w:rsidR="00E57902" w:rsidRPr="00E57902">
        <w:rPr>
          <w:lang w:val="en-US"/>
        </w:rPr>
        <w:instrText xml:space="preserve"> </w:instrText>
      </w:r>
      <w:r w:rsidR="00E57902">
        <w:instrText>журнала</w:instrText>
      </w:r>
      <w:r w:rsidR="00E57902" w:rsidRPr="00E57902">
        <w:rPr>
          <w:lang w:val="en-US"/>
        </w:rPr>
        <w:instrText xml:space="preserve">" </w:instrText>
      </w:r>
      <w:r w:rsidR="00E57902">
        <w:fldChar w:fldCharType="separate"/>
      </w:r>
      <w:r w:rsidRPr="00DD40B1">
        <w:rPr>
          <w:rFonts w:ascii="Times New Roman" w:hAnsi="Times New Roman" w:cs="Times New Roman"/>
          <w:sz w:val="24"/>
          <w:szCs w:val="24"/>
          <w:lang w:val="en-US"/>
        </w:rPr>
        <w:t>ALATOO ACADEMIC STUDIES</w:t>
      </w:r>
      <w:r w:rsidR="00E57902">
        <w:rPr>
          <w:rFonts w:ascii="Times New Roman" w:hAnsi="Times New Roman" w:cs="Times New Roman"/>
          <w:sz w:val="24"/>
          <w:szCs w:val="24"/>
          <w:lang w:val="en-US"/>
        </w:rPr>
        <w:fldChar w:fldCharType="end"/>
      </w:r>
      <w:r w:rsidRPr="00DD40B1">
        <w:rPr>
          <w:rFonts w:ascii="Times New Roman" w:hAnsi="Times New Roman" w:cs="Times New Roman"/>
          <w:sz w:val="24"/>
          <w:szCs w:val="24"/>
          <w:lang w:val="en-US"/>
        </w:rPr>
        <w:t xml:space="preserve">. </w:t>
      </w:r>
      <w:r w:rsidRPr="00DD40B1">
        <w:rPr>
          <w:rFonts w:ascii="Times New Roman" w:hAnsi="Times New Roman" w:cs="Times New Roman"/>
          <w:sz w:val="24"/>
          <w:szCs w:val="24"/>
        </w:rPr>
        <w:t xml:space="preserve">2015. №4. </w:t>
      </w:r>
      <w:proofErr w:type="gramStart"/>
      <w:r w:rsidRPr="00DD40B1">
        <w:rPr>
          <w:rFonts w:ascii="Times New Roman" w:hAnsi="Times New Roman" w:cs="Times New Roman"/>
          <w:sz w:val="24"/>
          <w:szCs w:val="24"/>
          <w:lang w:val="en-US"/>
        </w:rPr>
        <w:t>P</w:t>
      </w:r>
      <w:r w:rsidRPr="00DD40B1">
        <w:rPr>
          <w:rFonts w:ascii="Times New Roman" w:hAnsi="Times New Roman" w:cs="Times New Roman"/>
          <w:sz w:val="24"/>
          <w:szCs w:val="24"/>
        </w:rPr>
        <w:t>. 156- 161</w:t>
      </w:r>
      <w:r>
        <w:rPr>
          <w:rFonts w:ascii="Times New Roman" w:hAnsi="Times New Roman" w:cs="Times New Roman"/>
          <w:sz w:val="24"/>
          <w:szCs w:val="24"/>
        </w:rPr>
        <w:t>.</w:t>
      </w:r>
      <w:proofErr w:type="gramEnd"/>
    </w:p>
    <w:p w:rsidR="001E545E" w:rsidRDefault="001E545E" w:rsidP="001E545E">
      <w:pPr>
        <w:spacing w:after="0" w:line="240" w:lineRule="auto"/>
        <w:jc w:val="both"/>
        <w:rPr>
          <w:rFonts w:ascii="Times New Roman" w:hAnsi="Times New Roman" w:cs="Times New Roman"/>
          <w:sz w:val="24"/>
          <w:szCs w:val="24"/>
        </w:rPr>
      </w:pPr>
    </w:p>
    <w:p w:rsidR="001E545E" w:rsidRDefault="001E545E" w:rsidP="001E545E">
      <w:pPr>
        <w:spacing w:after="0" w:line="240" w:lineRule="auto"/>
        <w:jc w:val="center"/>
        <w:rPr>
          <w:rFonts w:ascii="Times New Roman" w:hAnsi="Times New Roman" w:cs="Times New Roman"/>
          <w:b/>
          <w:sz w:val="24"/>
          <w:szCs w:val="28"/>
        </w:rPr>
      </w:pPr>
      <w:r w:rsidRPr="001E545E">
        <w:rPr>
          <w:rFonts w:ascii="Times New Roman" w:hAnsi="Times New Roman" w:cs="Times New Roman"/>
          <w:b/>
          <w:sz w:val="24"/>
          <w:szCs w:val="28"/>
        </w:rPr>
        <w:t>Информация об авторах</w:t>
      </w:r>
    </w:p>
    <w:p w:rsidR="001E545E" w:rsidRPr="00CF42E2" w:rsidRDefault="001E545E" w:rsidP="001E545E">
      <w:pPr>
        <w:spacing w:after="0" w:line="240" w:lineRule="auto"/>
        <w:jc w:val="both"/>
        <w:rPr>
          <w:rFonts w:ascii="Times New Roman" w:hAnsi="Times New Roman" w:cs="Times New Roman"/>
          <w:sz w:val="24"/>
          <w:szCs w:val="28"/>
          <w:lang w:val="en-US"/>
        </w:rPr>
      </w:pPr>
      <w:r>
        <w:rPr>
          <w:rFonts w:ascii="Times New Roman" w:hAnsi="Times New Roman" w:cs="Times New Roman"/>
          <w:b/>
          <w:sz w:val="24"/>
          <w:szCs w:val="28"/>
        </w:rPr>
        <w:lastRenderedPageBreak/>
        <w:tab/>
      </w:r>
      <w:r w:rsidRPr="001E545E">
        <w:rPr>
          <w:rFonts w:ascii="Times New Roman" w:hAnsi="Times New Roman" w:cs="Times New Roman"/>
          <w:sz w:val="24"/>
          <w:szCs w:val="28"/>
        </w:rPr>
        <w:t xml:space="preserve">Тухтарова Евгения Хасановна (Россия, Екатеринбург) – ведущий экономист, Институт экономики УрО РАН, </w:t>
      </w:r>
      <w:r w:rsidR="00C54AE6" w:rsidRPr="00C54AE6">
        <w:rPr>
          <w:rFonts w:ascii="Times New Roman" w:hAnsi="Times New Roman"/>
          <w:color w:val="222222"/>
          <w:sz w:val="24"/>
          <w:szCs w:val="24"/>
        </w:rPr>
        <w:t>620014</w:t>
      </w:r>
      <w:r w:rsidR="00C54AE6">
        <w:rPr>
          <w:rFonts w:ascii="Times New Roman" w:hAnsi="Times New Roman"/>
          <w:color w:val="222222"/>
          <w:sz w:val="24"/>
          <w:szCs w:val="24"/>
        </w:rPr>
        <w:t xml:space="preserve"> </w:t>
      </w:r>
      <w:r w:rsidRPr="001E545E">
        <w:rPr>
          <w:rFonts w:ascii="Times New Roman" w:hAnsi="Times New Roman" w:cs="Times New Roman"/>
          <w:sz w:val="24"/>
          <w:szCs w:val="28"/>
        </w:rPr>
        <w:t>ул. Московская</w:t>
      </w:r>
      <w:r w:rsidRPr="00CF42E2">
        <w:rPr>
          <w:rFonts w:ascii="Times New Roman" w:hAnsi="Times New Roman" w:cs="Times New Roman"/>
          <w:sz w:val="24"/>
          <w:szCs w:val="28"/>
          <w:lang w:val="en-US"/>
        </w:rPr>
        <w:t xml:space="preserve">, 29, </w:t>
      </w:r>
      <w:hyperlink r:id="rId19" w:history="1">
        <w:r w:rsidRPr="009A4CE8">
          <w:rPr>
            <w:rStyle w:val="a9"/>
            <w:rFonts w:ascii="Times New Roman" w:hAnsi="Times New Roman" w:cs="Times New Roman"/>
            <w:sz w:val="24"/>
            <w:szCs w:val="28"/>
            <w:lang w:val="en-US"/>
          </w:rPr>
          <w:t>tyevgeniya</w:t>
        </w:r>
        <w:r w:rsidRPr="00CF42E2">
          <w:rPr>
            <w:rStyle w:val="a9"/>
            <w:rFonts w:ascii="Times New Roman" w:hAnsi="Times New Roman" w:cs="Times New Roman"/>
            <w:sz w:val="24"/>
            <w:szCs w:val="28"/>
            <w:lang w:val="en-US"/>
          </w:rPr>
          <w:t>@</w:t>
        </w:r>
        <w:r w:rsidRPr="009A4CE8">
          <w:rPr>
            <w:rStyle w:val="a9"/>
            <w:rFonts w:ascii="Times New Roman" w:hAnsi="Times New Roman" w:cs="Times New Roman"/>
            <w:sz w:val="24"/>
            <w:szCs w:val="28"/>
            <w:lang w:val="en-US"/>
          </w:rPr>
          <w:t>yandex</w:t>
        </w:r>
        <w:r w:rsidRPr="00CF42E2">
          <w:rPr>
            <w:rStyle w:val="a9"/>
            <w:rFonts w:ascii="Times New Roman" w:hAnsi="Times New Roman" w:cs="Times New Roman"/>
            <w:sz w:val="24"/>
            <w:szCs w:val="28"/>
            <w:lang w:val="en-US"/>
          </w:rPr>
          <w:t>.</w:t>
        </w:r>
        <w:r w:rsidRPr="009A4CE8">
          <w:rPr>
            <w:rStyle w:val="a9"/>
            <w:rFonts w:ascii="Times New Roman" w:hAnsi="Times New Roman" w:cs="Times New Roman"/>
            <w:sz w:val="24"/>
            <w:szCs w:val="28"/>
            <w:lang w:val="en-US"/>
          </w:rPr>
          <w:t>ru</w:t>
        </w:r>
      </w:hyperlink>
      <w:r w:rsidRPr="00CF42E2">
        <w:rPr>
          <w:rFonts w:ascii="Times New Roman" w:hAnsi="Times New Roman" w:cs="Times New Roman"/>
          <w:sz w:val="24"/>
          <w:szCs w:val="28"/>
          <w:lang w:val="en-US"/>
        </w:rPr>
        <w:t xml:space="preserve"> </w:t>
      </w:r>
    </w:p>
    <w:p w:rsidR="001E545E" w:rsidRPr="00CF42E2" w:rsidRDefault="001E545E" w:rsidP="001E545E">
      <w:pPr>
        <w:spacing w:after="0" w:line="240" w:lineRule="auto"/>
        <w:jc w:val="both"/>
        <w:rPr>
          <w:rFonts w:ascii="Times New Roman" w:hAnsi="Times New Roman" w:cs="Times New Roman"/>
          <w:sz w:val="24"/>
          <w:szCs w:val="28"/>
          <w:lang w:val="en-US"/>
        </w:rPr>
      </w:pPr>
    </w:p>
    <w:p w:rsidR="001E545E" w:rsidRPr="001E545E" w:rsidRDefault="001E545E" w:rsidP="001E545E">
      <w:pPr>
        <w:spacing w:after="0" w:line="240" w:lineRule="auto"/>
        <w:jc w:val="right"/>
        <w:rPr>
          <w:rFonts w:ascii="Times New Roman" w:eastAsia="Calibri" w:hAnsi="Times New Roman"/>
          <w:sz w:val="24"/>
          <w:lang w:val="en-US"/>
        </w:rPr>
      </w:pPr>
      <w:proofErr w:type="spellStart"/>
      <w:r w:rsidRPr="001E545E">
        <w:rPr>
          <w:rFonts w:ascii="Times New Roman" w:eastAsia="Calibri" w:hAnsi="Times New Roman"/>
          <w:sz w:val="24"/>
          <w:lang w:val="en-US"/>
        </w:rPr>
        <w:t>Tukhtarova</w:t>
      </w:r>
      <w:proofErr w:type="spellEnd"/>
      <w:r w:rsidRPr="001E545E">
        <w:rPr>
          <w:rFonts w:ascii="Times New Roman" w:eastAsia="Calibri" w:hAnsi="Times New Roman"/>
          <w:sz w:val="24"/>
          <w:lang w:val="en-US"/>
        </w:rPr>
        <w:t xml:space="preserve"> E. </w:t>
      </w:r>
      <w:proofErr w:type="spellStart"/>
      <w:r w:rsidRPr="001E545E">
        <w:rPr>
          <w:rFonts w:ascii="Times New Roman" w:eastAsia="Calibri" w:hAnsi="Times New Roman"/>
          <w:sz w:val="24"/>
          <w:lang w:val="en-US"/>
        </w:rPr>
        <w:t>Kh</w:t>
      </w:r>
      <w:proofErr w:type="spellEnd"/>
      <w:r w:rsidRPr="001E545E">
        <w:rPr>
          <w:rFonts w:ascii="Times New Roman" w:eastAsia="Calibri" w:hAnsi="Times New Roman"/>
          <w:sz w:val="24"/>
          <w:lang w:val="en-US"/>
        </w:rPr>
        <w:t>.</w:t>
      </w:r>
    </w:p>
    <w:p w:rsidR="001E545E" w:rsidRPr="001E545E" w:rsidRDefault="001E545E" w:rsidP="001E545E">
      <w:pPr>
        <w:spacing w:after="0" w:line="240" w:lineRule="auto"/>
        <w:jc w:val="center"/>
        <w:rPr>
          <w:rFonts w:ascii="Times New Roman" w:hAnsi="Times New Roman" w:cs="Times New Roman"/>
          <w:b/>
          <w:sz w:val="32"/>
          <w:szCs w:val="28"/>
          <w:lang w:val="en-US"/>
        </w:rPr>
      </w:pPr>
      <w:r w:rsidRPr="001E545E">
        <w:rPr>
          <w:rFonts w:ascii="Times New Roman" w:hAnsi="Times New Roman" w:cs="Times New Roman"/>
          <w:b/>
          <w:sz w:val="24"/>
          <w:lang w:val="en-US"/>
        </w:rPr>
        <w:t>MONEY TRANSFERS OF LABOR MIGRANTS AS A FACTOR WHEN THE EURASIAN ECONOMIC COOPERATION</w:t>
      </w:r>
    </w:p>
    <w:p w:rsidR="00F115FA" w:rsidRPr="00CF42E2" w:rsidRDefault="00F115FA" w:rsidP="001E545E">
      <w:pPr>
        <w:spacing w:after="0" w:line="240" w:lineRule="auto"/>
        <w:jc w:val="both"/>
        <w:rPr>
          <w:lang w:val="en-US"/>
        </w:rPr>
      </w:pPr>
    </w:p>
    <w:p w:rsidR="00F115FA" w:rsidRPr="00CF42E2" w:rsidRDefault="00F115FA" w:rsidP="00F115FA">
      <w:pPr>
        <w:spacing w:after="0" w:line="240" w:lineRule="auto"/>
        <w:ind w:firstLine="708"/>
        <w:jc w:val="both"/>
        <w:rPr>
          <w:rFonts w:ascii="Times New Roman" w:hAnsi="Times New Roman" w:cs="Times New Roman"/>
          <w:i/>
          <w:sz w:val="24"/>
          <w:lang w:val="en-US"/>
        </w:rPr>
      </w:pPr>
      <w:r w:rsidRPr="00CF42E2">
        <w:rPr>
          <w:rFonts w:ascii="Times New Roman" w:hAnsi="Times New Roman" w:cs="Times New Roman"/>
          <w:i/>
          <w:sz w:val="24"/>
          <w:lang w:val="en-US"/>
        </w:rPr>
        <w:t xml:space="preserve">In the modern Russian scientific community there is debate not only about the effectiveness of Eurasian cooperation between countries within the Union, but does not subside the issue of the involvement of the former countries of the former Soviet camps in his orbit. Some tend that Russia has no need to develop this cooperation, while others believe the contrary almost the only rescue Russia and former Soviet republics in the era of globalization and competition in world markets. </w:t>
      </w:r>
    </w:p>
    <w:p w:rsidR="00F115FA" w:rsidRPr="00CF42E2" w:rsidRDefault="00F115FA" w:rsidP="00F115FA">
      <w:pPr>
        <w:spacing w:after="0" w:line="240" w:lineRule="auto"/>
        <w:ind w:firstLine="708"/>
        <w:jc w:val="both"/>
        <w:rPr>
          <w:rFonts w:ascii="Times New Roman" w:hAnsi="Times New Roman" w:cs="Times New Roman"/>
          <w:i/>
          <w:sz w:val="24"/>
          <w:lang w:val="en-US"/>
        </w:rPr>
      </w:pPr>
      <w:r w:rsidRPr="00CF42E2">
        <w:rPr>
          <w:rFonts w:ascii="Times New Roman" w:hAnsi="Times New Roman" w:cs="Times New Roman"/>
          <w:i/>
          <w:sz w:val="24"/>
          <w:lang w:val="en-US"/>
        </w:rPr>
        <w:t xml:space="preserve">The research of the author results showed that, despite 25 years of trying one once the disintegration of the state, economic cooperation not only between the member countries of the </w:t>
      </w:r>
      <w:proofErr w:type="spellStart"/>
      <w:r w:rsidRPr="00CF42E2">
        <w:rPr>
          <w:rFonts w:ascii="Times New Roman" w:hAnsi="Times New Roman" w:cs="Times New Roman"/>
          <w:i/>
          <w:sz w:val="24"/>
          <w:lang w:val="en-US"/>
        </w:rPr>
        <w:t>EurAsEC</w:t>
      </w:r>
      <w:proofErr w:type="spellEnd"/>
      <w:r w:rsidRPr="00CF42E2">
        <w:rPr>
          <w:rFonts w:ascii="Times New Roman" w:hAnsi="Times New Roman" w:cs="Times New Roman"/>
          <w:i/>
          <w:sz w:val="24"/>
          <w:lang w:val="en-US"/>
        </w:rPr>
        <w:t>, but also with countries not belonging while in the Union has still huge potential. Moreover almost all the countries of the former Soviet republics, heavily dependent on the Russian economy, and migrant workers are the threads linking this economic space.</w:t>
      </w:r>
    </w:p>
    <w:p w:rsidR="001E545E" w:rsidRPr="001E545E" w:rsidRDefault="001E545E" w:rsidP="001E545E">
      <w:pPr>
        <w:spacing w:after="0" w:line="240" w:lineRule="auto"/>
        <w:jc w:val="both"/>
        <w:rPr>
          <w:rFonts w:ascii="Times New Roman" w:hAnsi="Times New Roman" w:cs="Times New Roman"/>
          <w:i/>
          <w:sz w:val="28"/>
          <w:szCs w:val="28"/>
          <w:lang w:val="en-US"/>
        </w:rPr>
      </w:pPr>
      <w:r w:rsidRPr="001E545E">
        <w:rPr>
          <w:rFonts w:ascii="Times New Roman" w:hAnsi="Times New Roman" w:cs="Times New Roman"/>
          <w:b/>
          <w:sz w:val="24"/>
          <w:szCs w:val="28"/>
          <w:lang w:val="en-US"/>
        </w:rPr>
        <w:t>Key words</w:t>
      </w:r>
      <w:r>
        <w:rPr>
          <w:rFonts w:ascii="Times New Roman" w:hAnsi="Times New Roman" w:cs="Times New Roman"/>
          <w:sz w:val="24"/>
          <w:szCs w:val="28"/>
          <w:lang w:val="en-US"/>
        </w:rPr>
        <w:t>:</w:t>
      </w:r>
      <w:r w:rsidRPr="001E545E">
        <w:rPr>
          <w:rFonts w:ascii="Times New Roman" w:hAnsi="Times New Roman" w:cs="Times New Roman"/>
          <w:sz w:val="24"/>
          <w:szCs w:val="28"/>
          <w:lang w:val="en-US"/>
        </w:rPr>
        <w:t xml:space="preserve"> </w:t>
      </w:r>
      <w:r w:rsidRPr="001E545E">
        <w:rPr>
          <w:rFonts w:ascii="Times New Roman" w:hAnsi="Times New Roman" w:cs="Times New Roman"/>
          <w:i/>
          <w:sz w:val="24"/>
          <w:szCs w:val="28"/>
          <w:lang w:val="en-US"/>
        </w:rPr>
        <w:t>remittances, migrant worker, economic development, Eurasian economic space</w:t>
      </w:r>
    </w:p>
    <w:p w:rsidR="001E545E" w:rsidRPr="001E545E" w:rsidRDefault="001E545E" w:rsidP="001E545E">
      <w:pPr>
        <w:spacing w:after="0" w:line="240" w:lineRule="auto"/>
        <w:ind w:firstLine="709"/>
        <w:jc w:val="both"/>
        <w:rPr>
          <w:rFonts w:ascii="Times New Roman" w:hAnsi="Times New Roman" w:cs="Times New Roman"/>
          <w:sz w:val="24"/>
          <w:szCs w:val="28"/>
          <w:lang w:val="en-US"/>
        </w:rPr>
      </w:pPr>
    </w:p>
    <w:p w:rsidR="00230202" w:rsidRDefault="00230202" w:rsidP="00230202">
      <w:pPr>
        <w:spacing w:after="0" w:line="240" w:lineRule="auto"/>
        <w:jc w:val="center"/>
        <w:rPr>
          <w:rStyle w:val="hps"/>
          <w:rFonts w:ascii="Times New Roman" w:hAnsi="Times New Roman"/>
          <w:b/>
          <w:color w:val="222222"/>
          <w:sz w:val="24"/>
          <w:szCs w:val="24"/>
          <w:lang w:val="en"/>
        </w:rPr>
      </w:pPr>
      <w:r w:rsidRPr="00526BCA">
        <w:rPr>
          <w:rStyle w:val="hps"/>
          <w:rFonts w:ascii="Times New Roman" w:hAnsi="Times New Roman"/>
          <w:b/>
          <w:color w:val="222222"/>
          <w:sz w:val="24"/>
          <w:szCs w:val="24"/>
          <w:lang w:val="en"/>
        </w:rPr>
        <w:t>Information about the authors</w:t>
      </w:r>
    </w:p>
    <w:p w:rsidR="00C54AE6" w:rsidRPr="00526BCA" w:rsidRDefault="00C54AE6" w:rsidP="00C54AE6">
      <w:pPr>
        <w:shd w:val="clear" w:color="auto" w:fill="FFFFFF"/>
        <w:spacing w:line="285" w:lineRule="atLeast"/>
        <w:jc w:val="both"/>
        <w:rPr>
          <w:rFonts w:ascii="Times New Roman" w:hAnsi="Times New Roman"/>
          <w:color w:val="000000"/>
          <w:sz w:val="24"/>
          <w:szCs w:val="24"/>
          <w:lang w:val="en-US"/>
        </w:rPr>
      </w:pPr>
      <w:proofErr w:type="spellStart"/>
      <w:r w:rsidRPr="00526BCA">
        <w:rPr>
          <w:rStyle w:val="hps"/>
          <w:rFonts w:ascii="Times New Roman" w:hAnsi="Times New Roman"/>
          <w:color w:val="222222"/>
          <w:sz w:val="24"/>
          <w:szCs w:val="24"/>
          <w:lang w:val="en"/>
        </w:rPr>
        <w:t>Tuhtarova</w:t>
      </w:r>
      <w:proofErr w:type="spellEnd"/>
      <w:r w:rsidRPr="00526BCA">
        <w:rPr>
          <w:rFonts w:ascii="Times New Roman" w:hAnsi="Times New Roman"/>
          <w:color w:val="222222"/>
          <w:sz w:val="24"/>
          <w:szCs w:val="24"/>
          <w:lang w:val="en"/>
        </w:rPr>
        <w:t xml:space="preserve"> </w:t>
      </w:r>
      <w:proofErr w:type="spellStart"/>
      <w:r>
        <w:rPr>
          <w:rStyle w:val="hps"/>
          <w:rFonts w:ascii="Times New Roman" w:hAnsi="Times New Roman"/>
          <w:color w:val="222222"/>
          <w:sz w:val="24"/>
          <w:szCs w:val="24"/>
          <w:lang w:val="en"/>
        </w:rPr>
        <w:t>Ev</w:t>
      </w:r>
      <w:r w:rsidRPr="00526BCA">
        <w:rPr>
          <w:rStyle w:val="hps"/>
          <w:rFonts w:ascii="Times New Roman" w:hAnsi="Times New Roman"/>
          <w:color w:val="222222"/>
          <w:sz w:val="24"/>
          <w:szCs w:val="24"/>
          <w:lang w:val="en"/>
        </w:rPr>
        <w:t>gen</w:t>
      </w:r>
      <w:r>
        <w:rPr>
          <w:rStyle w:val="hps"/>
          <w:rFonts w:ascii="Times New Roman" w:hAnsi="Times New Roman"/>
          <w:color w:val="222222"/>
          <w:sz w:val="24"/>
          <w:szCs w:val="24"/>
          <w:lang w:val="en-US"/>
        </w:rPr>
        <w:t>ya</w:t>
      </w:r>
      <w:proofErr w:type="spellEnd"/>
      <w:r w:rsidRPr="00526BCA">
        <w:rPr>
          <w:rFonts w:ascii="Times New Roman" w:hAnsi="Times New Roman"/>
          <w:color w:val="222222"/>
          <w:sz w:val="24"/>
          <w:szCs w:val="24"/>
          <w:lang w:val="en"/>
        </w:rPr>
        <w:t xml:space="preserve"> </w:t>
      </w:r>
      <w:proofErr w:type="spellStart"/>
      <w:r>
        <w:rPr>
          <w:rStyle w:val="hps"/>
          <w:rFonts w:ascii="Times New Roman" w:hAnsi="Times New Roman"/>
          <w:color w:val="222222"/>
          <w:sz w:val="24"/>
          <w:szCs w:val="24"/>
          <w:lang w:val="en"/>
        </w:rPr>
        <w:t>Kh</w:t>
      </w:r>
      <w:r w:rsidRPr="00526BCA">
        <w:rPr>
          <w:rStyle w:val="hps"/>
          <w:rFonts w:ascii="Times New Roman" w:hAnsi="Times New Roman"/>
          <w:color w:val="222222"/>
          <w:sz w:val="24"/>
          <w:szCs w:val="24"/>
          <w:lang w:val="en"/>
        </w:rPr>
        <w:t>asanovna</w:t>
      </w:r>
      <w:proofErr w:type="spellEnd"/>
      <w:r w:rsidRPr="00526BCA">
        <w:rPr>
          <w:rFonts w:ascii="Times New Roman" w:hAnsi="Times New Roman"/>
          <w:color w:val="222222"/>
          <w:sz w:val="24"/>
          <w:szCs w:val="24"/>
          <w:lang w:val="en"/>
        </w:rPr>
        <w:t xml:space="preserve"> </w:t>
      </w:r>
      <w:r w:rsidRPr="00526BCA">
        <w:rPr>
          <w:rStyle w:val="hps"/>
          <w:rFonts w:ascii="Times New Roman" w:hAnsi="Times New Roman"/>
          <w:color w:val="222222"/>
          <w:sz w:val="24"/>
          <w:szCs w:val="24"/>
          <w:lang w:val="en"/>
        </w:rPr>
        <w:t>(Ekaterinburg,</w:t>
      </w:r>
      <w:r w:rsidRPr="00526BCA">
        <w:rPr>
          <w:rFonts w:ascii="Times New Roman" w:hAnsi="Times New Roman"/>
          <w:color w:val="222222"/>
          <w:sz w:val="24"/>
          <w:szCs w:val="24"/>
          <w:lang w:val="en"/>
        </w:rPr>
        <w:t xml:space="preserve"> </w:t>
      </w:r>
      <w:r w:rsidRPr="00526BCA">
        <w:rPr>
          <w:rStyle w:val="hps"/>
          <w:rFonts w:ascii="Times New Roman" w:hAnsi="Times New Roman"/>
          <w:color w:val="222222"/>
          <w:sz w:val="24"/>
          <w:szCs w:val="24"/>
          <w:lang w:val="en"/>
        </w:rPr>
        <w:t>Russia</w:t>
      </w:r>
      <w:r w:rsidRPr="00526BCA">
        <w:rPr>
          <w:rFonts w:ascii="Times New Roman" w:hAnsi="Times New Roman"/>
          <w:color w:val="222222"/>
          <w:sz w:val="24"/>
          <w:szCs w:val="24"/>
          <w:lang w:val="en"/>
        </w:rPr>
        <w:t xml:space="preserve">) is a leading </w:t>
      </w:r>
      <w:r w:rsidRPr="00526BCA">
        <w:rPr>
          <w:rStyle w:val="hps"/>
          <w:rFonts w:ascii="Times New Roman" w:hAnsi="Times New Roman"/>
          <w:color w:val="222222"/>
          <w:sz w:val="24"/>
          <w:szCs w:val="24"/>
          <w:lang w:val="en"/>
        </w:rPr>
        <w:t>economist</w:t>
      </w:r>
      <w:r w:rsidRPr="00526BCA">
        <w:rPr>
          <w:rFonts w:ascii="Times New Roman" w:hAnsi="Times New Roman"/>
          <w:color w:val="222222"/>
          <w:sz w:val="24"/>
          <w:szCs w:val="24"/>
          <w:lang w:val="en"/>
        </w:rPr>
        <w:t xml:space="preserve">, Institute </w:t>
      </w:r>
      <w:r w:rsidRPr="00526BCA">
        <w:rPr>
          <w:rStyle w:val="hps"/>
          <w:rFonts w:ascii="Times New Roman" w:hAnsi="Times New Roman"/>
          <w:color w:val="222222"/>
          <w:sz w:val="24"/>
          <w:szCs w:val="24"/>
          <w:lang w:val="en"/>
        </w:rPr>
        <w:t>of Economics, Ural</w:t>
      </w:r>
      <w:r w:rsidRPr="00526BCA">
        <w:rPr>
          <w:rFonts w:ascii="Times New Roman" w:hAnsi="Times New Roman"/>
          <w:color w:val="222222"/>
          <w:sz w:val="24"/>
          <w:szCs w:val="24"/>
          <w:lang w:val="en"/>
        </w:rPr>
        <w:t xml:space="preserve"> </w:t>
      </w:r>
      <w:r w:rsidRPr="00526BCA">
        <w:rPr>
          <w:rStyle w:val="hps"/>
          <w:rFonts w:ascii="Times New Roman" w:hAnsi="Times New Roman"/>
          <w:color w:val="222222"/>
          <w:sz w:val="24"/>
          <w:szCs w:val="24"/>
          <w:lang w:val="en"/>
        </w:rPr>
        <w:t>Branch of the Russian</w:t>
      </w:r>
      <w:r w:rsidRPr="00526BCA">
        <w:rPr>
          <w:rFonts w:ascii="Times New Roman" w:hAnsi="Times New Roman"/>
          <w:color w:val="222222"/>
          <w:sz w:val="24"/>
          <w:szCs w:val="24"/>
          <w:lang w:val="en"/>
        </w:rPr>
        <w:t xml:space="preserve"> </w:t>
      </w:r>
      <w:r w:rsidRPr="00526BCA">
        <w:rPr>
          <w:rStyle w:val="hps"/>
          <w:rFonts w:ascii="Times New Roman" w:hAnsi="Times New Roman"/>
          <w:color w:val="222222"/>
          <w:sz w:val="24"/>
          <w:szCs w:val="24"/>
          <w:lang w:val="en"/>
        </w:rPr>
        <w:t>Academy of Sciences (</w:t>
      </w:r>
      <w:r w:rsidRPr="00526BCA">
        <w:rPr>
          <w:rFonts w:ascii="Times New Roman" w:hAnsi="Times New Roman"/>
          <w:color w:val="222222"/>
          <w:sz w:val="24"/>
          <w:szCs w:val="24"/>
          <w:lang w:val="en"/>
        </w:rPr>
        <w:t xml:space="preserve">620014, </w:t>
      </w:r>
      <w:proofErr w:type="spellStart"/>
      <w:r w:rsidRPr="00526BCA">
        <w:rPr>
          <w:rStyle w:val="hps"/>
          <w:rFonts w:ascii="Times New Roman" w:hAnsi="Times New Roman"/>
          <w:color w:val="222222"/>
          <w:sz w:val="24"/>
          <w:szCs w:val="24"/>
          <w:lang w:val="en"/>
        </w:rPr>
        <w:t>st.</w:t>
      </w:r>
      <w:proofErr w:type="spellEnd"/>
      <w:r w:rsidRPr="00526BCA">
        <w:rPr>
          <w:rFonts w:ascii="Times New Roman" w:hAnsi="Times New Roman"/>
          <w:color w:val="222222"/>
          <w:sz w:val="24"/>
          <w:szCs w:val="24"/>
          <w:lang w:val="en"/>
        </w:rPr>
        <w:t xml:space="preserve"> </w:t>
      </w:r>
      <w:proofErr w:type="spellStart"/>
      <w:r w:rsidRPr="00526BCA">
        <w:rPr>
          <w:rStyle w:val="hps"/>
          <w:rFonts w:ascii="Times New Roman" w:hAnsi="Times New Roman"/>
          <w:color w:val="222222"/>
          <w:sz w:val="24"/>
          <w:szCs w:val="24"/>
          <w:lang w:val="en"/>
        </w:rPr>
        <w:t>Moskovskaya</w:t>
      </w:r>
      <w:proofErr w:type="spellEnd"/>
      <w:r w:rsidRPr="00526BCA">
        <w:rPr>
          <w:rStyle w:val="hps"/>
          <w:rFonts w:ascii="Times New Roman" w:hAnsi="Times New Roman"/>
          <w:color w:val="222222"/>
          <w:sz w:val="24"/>
          <w:szCs w:val="24"/>
          <w:lang w:val="en"/>
        </w:rPr>
        <w:t>,</w:t>
      </w:r>
      <w:r w:rsidRPr="00526BCA">
        <w:rPr>
          <w:rFonts w:ascii="Times New Roman" w:hAnsi="Times New Roman"/>
          <w:color w:val="222222"/>
          <w:sz w:val="24"/>
          <w:szCs w:val="24"/>
          <w:lang w:val="en"/>
        </w:rPr>
        <w:t xml:space="preserve"> </w:t>
      </w:r>
      <w:r w:rsidRPr="00526BCA">
        <w:rPr>
          <w:rStyle w:val="hps"/>
          <w:rFonts w:ascii="Times New Roman" w:hAnsi="Times New Roman"/>
          <w:color w:val="222222"/>
          <w:sz w:val="24"/>
          <w:szCs w:val="24"/>
          <w:lang w:val="en"/>
        </w:rPr>
        <w:t>29</w:t>
      </w:r>
      <w:r w:rsidRPr="00230202">
        <w:rPr>
          <w:rStyle w:val="hps"/>
          <w:rFonts w:ascii="Times New Roman" w:hAnsi="Times New Roman"/>
          <w:color w:val="222222"/>
          <w:sz w:val="24"/>
          <w:szCs w:val="24"/>
          <w:lang w:val="en-US"/>
        </w:rPr>
        <w:t>)</w:t>
      </w:r>
      <w:r w:rsidRPr="00526BCA">
        <w:rPr>
          <w:rFonts w:ascii="Times New Roman" w:hAnsi="Times New Roman"/>
          <w:color w:val="222222"/>
          <w:sz w:val="24"/>
          <w:szCs w:val="24"/>
          <w:lang w:val="en"/>
        </w:rPr>
        <w:t>,</w:t>
      </w:r>
      <w:r w:rsidRPr="00526BCA">
        <w:rPr>
          <w:rFonts w:ascii="Times New Roman" w:hAnsi="Times New Roman"/>
          <w:sz w:val="24"/>
          <w:szCs w:val="24"/>
          <w:lang w:val="en-US"/>
        </w:rPr>
        <w:t xml:space="preserve"> </w:t>
      </w:r>
      <w:r w:rsidRPr="006102C4">
        <w:rPr>
          <w:rFonts w:ascii="Times New Roman" w:hAnsi="Times New Roman"/>
          <w:sz w:val="24"/>
          <w:szCs w:val="24"/>
          <w:lang w:val="en-US"/>
        </w:rPr>
        <w:t>e</w:t>
      </w:r>
      <w:r w:rsidRPr="00456892">
        <w:rPr>
          <w:rFonts w:ascii="Times New Roman" w:hAnsi="Times New Roman"/>
          <w:sz w:val="24"/>
          <w:szCs w:val="24"/>
          <w:lang w:val="en-US"/>
        </w:rPr>
        <w:t>-</w:t>
      </w:r>
      <w:r w:rsidRPr="006102C4">
        <w:rPr>
          <w:rFonts w:ascii="Times New Roman" w:hAnsi="Times New Roman"/>
          <w:sz w:val="24"/>
          <w:szCs w:val="24"/>
          <w:lang w:val="en-US"/>
        </w:rPr>
        <w:t>mail</w:t>
      </w:r>
      <w:r w:rsidRPr="00456892">
        <w:rPr>
          <w:rFonts w:ascii="Times New Roman" w:hAnsi="Times New Roman"/>
          <w:sz w:val="24"/>
          <w:szCs w:val="24"/>
          <w:lang w:val="en-US"/>
        </w:rPr>
        <w:t xml:space="preserve">: </w:t>
      </w:r>
      <w:hyperlink r:id="rId20" w:history="1">
        <w:r w:rsidRPr="006102C4">
          <w:rPr>
            <w:rStyle w:val="a9"/>
            <w:rFonts w:ascii="Times New Roman" w:hAnsi="Times New Roman"/>
            <w:sz w:val="24"/>
            <w:szCs w:val="24"/>
            <w:lang w:val="en-US"/>
          </w:rPr>
          <w:t>tyevgeniya</w:t>
        </w:r>
        <w:r w:rsidRPr="00456892">
          <w:rPr>
            <w:rStyle w:val="a9"/>
            <w:rFonts w:ascii="Times New Roman" w:hAnsi="Times New Roman"/>
            <w:sz w:val="24"/>
            <w:szCs w:val="24"/>
            <w:lang w:val="en-US"/>
          </w:rPr>
          <w:t>@</w:t>
        </w:r>
        <w:r w:rsidRPr="006102C4">
          <w:rPr>
            <w:rStyle w:val="a9"/>
            <w:rFonts w:ascii="Times New Roman" w:hAnsi="Times New Roman"/>
            <w:sz w:val="24"/>
            <w:szCs w:val="24"/>
            <w:lang w:val="en-US"/>
          </w:rPr>
          <w:t>yandex</w:t>
        </w:r>
        <w:r w:rsidRPr="00456892">
          <w:rPr>
            <w:rStyle w:val="a9"/>
            <w:rFonts w:ascii="Times New Roman" w:hAnsi="Times New Roman"/>
            <w:sz w:val="24"/>
            <w:szCs w:val="24"/>
            <w:lang w:val="en-US"/>
          </w:rPr>
          <w:t>.</w:t>
        </w:r>
        <w:r w:rsidRPr="006102C4">
          <w:rPr>
            <w:rStyle w:val="a9"/>
            <w:rFonts w:ascii="Times New Roman" w:hAnsi="Times New Roman"/>
            <w:sz w:val="24"/>
            <w:szCs w:val="24"/>
            <w:lang w:val="en-US"/>
          </w:rPr>
          <w:t>ru</w:t>
        </w:r>
      </w:hyperlink>
    </w:p>
    <w:p w:rsidR="00230202" w:rsidRPr="00B81F35" w:rsidRDefault="00230202" w:rsidP="00230202">
      <w:pPr>
        <w:spacing w:after="0" w:line="240" w:lineRule="auto"/>
        <w:jc w:val="center"/>
        <w:rPr>
          <w:rFonts w:ascii="Times New Roman" w:hAnsi="Times New Roman"/>
          <w:b/>
          <w:sz w:val="24"/>
          <w:szCs w:val="24"/>
          <w:lang w:val="en-US"/>
        </w:rPr>
      </w:pPr>
      <w:r w:rsidRPr="00B81F35">
        <w:rPr>
          <w:rFonts w:ascii="Times New Roman" w:hAnsi="Times New Roman"/>
          <w:b/>
          <w:bCs/>
          <w:sz w:val="24"/>
          <w:szCs w:val="24"/>
          <w:lang w:val="en-US"/>
        </w:rPr>
        <w:t>References:</w:t>
      </w:r>
    </w:p>
    <w:p w:rsidR="00230202" w:rsidRPr="00100DC0" w:rsidRDefault="00230202" w:rsidP="00230202">
      <w:pPr>
        <w:spacing w:after="0" w:line="240" w:lineRule="auto"/>
        <w:ind w:left="708"/>
        <w:jc w:val="both"/>
        <w:rPr>
          <w:rFonts w:ascii="Times New Roman" w:hAnsi="Times New Roman" w:cs="Times New Roman"/>
          <w:sz w:val="24"/>
          <w:lang w:val="en-US"/>
        </w:rPr>
      </w:pPr>
      <w:r w:rsidRPr="00230202">
        <w:rPr>
          <w:rFonts w:ascii="Times New Roman" w:hAnsi="Times New Roman" w:cs="Times New Roman"/>
          <w:sz w:val="24"/>
          <w:lang w:val="en-US"/>
        </w:rPr>
        <w:t xml:space="preserve">1. Online data of the Central Bank of the Russian Federation </w:t>
      </w:r>
      <w:hyperlink r:id="rId21" w:history="1">
        <w:r w:rsidRPr="009A4CE8">
          <w:rPr>
            <w:rStyle w:val="a9"/>
            <w:rFonts w:ascii="Times New Roman" w:hAnsi="Times New Roman" w:cs="Times New Roman"/>
            <w:sz w:val="24"/>
            <w:lang w:val="en-US"/>
          </w:rPr>
          <w:t>http://www.cbr.ru/</w:t>
        </w:r>
      </w:hyperlink>
      <w:r w:rsidRPr="00230202">
        <w:rPr>
          <w:rFonts w:ascii="Times New Roman" w:hAnsi="Times New Roman" w:cs="Times New Roman"/>
          <w:sz w:val="24"/>
          <w:lang w:val="en-US"/>
        </w:rPr>
        <w:t xml:space="preserve">  </w:t>
      </w:r>
      <w:r w:rsidRPr="00230202">
        <w:rPr>
          <w:rFonts w:ascii="Times New Roman" w:hAnsi="Times New Roman" w:cs="Times New Roman"/>
          <w:sz w:val="24"/>
          <w:lang w:val="en-US"/>
        </w:rPr>
        <w:br/>
        <w:t xml:space="preserve">2. The data of the CIS </w:t>
      </w:r>
      <w:proofErr w:type="spellStart"/>
      <w:r w:rsidRPr="00230202">
        <w:rPr>
          <w:rFonts w:ascii="Times New Roman" w:hAnsi="Times New Roman" w:cs="Times New Roman"/>
          <w:sz w:val="24"/>
          <w:lang w:val="en-US"/>
        </w:rPr>
        <w:t>Statcommittee</w:t>
      </w:r>
      <w:proofErr w:type="spellEnd"/>
      <w:r w:rsidRPr="00230202">
        <w:rPr>
          <w:rFonts w:ascii="Times New Roman" w:hAnsi="Times New Roman" w:cs="Times New Roman"/>
          <w:sz w:val="24"/>
          <w:lang w:val="en-US"/>
        </w:rPr>
        <w:t xml:space="preserve"> </w:t>
      </w:r>
      <w:hyperlink r:id="rId22" w:history="1">
        <w:r w:rsidRPr="009A4CE8">
          <w:rPr>
            <w:rStyle w:val="a9"/>
            <w:rFonts w:ascii="Times New Roman" w:hAnsi="Times New Roman" w:cs="Times New Roman"/>
            <w:sz w:val="24"/>
            <w:lang w:val="en-US"/>
          </w:rPr>
          <w:t>www.cisstat.com</w:t>
        </w:r>
      </w:hyperlink>
      <w:r w:rsidRPr="00230202">
        <w:rPr>
          <w:rFonts w:ascii="Times New Roman" w:hAnsi="Times New Roman" w:cs="Times New Roman"/>
          <w:sz w:val="24"/>
          <w:lang w:val="en-US"/>
        </w:rPr>
        <w:t xml:space="preserve"> </w:t>
      </w:r>
    </w:p>
    <w:p w:rsidR="009C1FAF" w:rsidRPr="00100DC0" w:rsidRDefault="00230202" w:rsidP="00230202">
      <w:pPr>
        <w:spacing w:after="0" w:line="240" w:lineRule="auto"/>
        <w:ind w:firstLine="709"/>
        <w:jc w:val="both"/>
        <w:rPr>
          <w:rFonts w:ascii="Times New Roman" w:hAnsi="Times New Roman" w:cs="Times New Roman"/>
          <w:sz w:val="24"/>
          <w:lang w:val="en-US"/>
        </w:rPr>
      </w:pPr>
      <w:r w:rsidRPr="00230202">
        <w:rPr>
          <w:rFonts w:ascii="Times New Roman" w:hAnsi="Times New Roman" w:cs="Times New Roman"/>
          <w:sz w:val="24"/>
          <w:lang w:val="en-US"/>
        </w:rPr>
        <w:t xml:space="preserve">3. </w:t>
      </w:r>
      <w:proofErr w:type="spellStart"/>
      <w:r w:rsidRPr="00230202">
        <w:rPr>
          <w:rFonts w:ascii="Times New Roman" w:hAnsi="Times New Roman" w:cs="Times New Roman"/>
          <w:sz w:val="24"/>
          <w:lang w:val="en-US"/>
        </w:rPr>
        <w:t>Chepel</w:t>
      </w:r>
      <w:proofErr w:type="spellEnd"/>
      <w:r w:rsidRPr="00230202">
        <w:rPr>
          <w:rFonts w:ascii="Times New Roman" w:hAnsi="Times New Roman" w:cs="Times New Roman"/>
          <w:sz w:val="24"/>
          <w:lang w:val="en-US"/>
        </w:rPr>
        <w:t xml:space="preserve"> S. </w:t>
      </w:r>
      <w:r w:rsidR="00100DC0">
        <w:rPr>
          <w:rFonts w:ascii="Times New Roman" w:hAnsi="Times New Roman" w:cs="Times New Roman"/>
          <w:sz w:val="24"/>
          <w:lang w:val="en-US"/>
        </w:rPr>
        <w:t>W</w:t>
      </w:r>
      <w:r w:rsidRPr="00230202">
        <w:rPr>
          <w:rFonts w:ascii="Times New Roman" w:hAnsi="Times New Roman" w:cs="Times New Roman"/>
          <w:sz w:val="24"/>
          <w:lang w:val="en-US"/>
        </w:rPr>
        <w:t xml:space="preserve">., </w:t>
      </w:r>
      <w:proofErr w:type="spellStart"/>
      <w:r w:rsidRPr="00230202">
        <w:rPr>
          <w:rFonts w:ascii="Times New Roman" w:hAnsi="Times New Roman" w:cs="Times New Roman"/>
          <w:sz w:val="24"/>
          <w:lang w:val="en-US"/>
        </w:rPr>
        <w:t>Bondarenko</w:t>
      </w:r>
      <w:proofErr w:type="spellEnd"/>
      <w:r w:rsidRPr="00230202">
        <w:rPr>
          <w:rFonts w:ascii="Times New Roman" w:hAnsi="Times New Roman" w:cs="Times New Roman"/>
          <w:sz w:val="24"/>
          <w:lang w:val="en-US"/>
        </w:rPr>
        <w:t xml:space="preserve"> A. K. Is external </w:t>
      </w:r>
      <w:proofErr w:type="spellStart"/>
      <w:r w:rsidRPr="00230202">
        <w:rPr>
          <w:rFonts w:ascii="Times New Roman" w:hAnsi="Times New Roman" w:cs="Times New Roman"/>
          <w:sz w:val="24"/>
          <w:lang w:val="en-US"/>
        </w:rPr>
        <w:t>labour</w:t>
      </w:r>
      <w:proofErr w:type="spellEnd"/>
      <w:r w:rsidRPr="00230202">
        <w:rPr>
          <w:rFonts w:ascii="Times New Roman" w:hAnsi="Times New Roman" w:cs="Times New Roman"/>
          <w:sz w:val="24"/>
          <w:lang w:val="en-US"/>
        </w:rPr>
        <w:t xml:space="preserve"> migration factor of economic </w:t>
      </w:r>
      <w:proofErr w:type="gramStart"/>
      <w:r w:rsidRPr="00230202">
        <w:rPr>
          <w:rFonts w:ascii="Times New Roman" w:hAnsi="Times New Roman" w:cs="Times New Roman"/>
          <w:sz w:val="24"/>
          <w:lang w:val="en-US"/>
        </w:rPr>
        <w:t>growth.</w:t>
      </w:r>
      <w:proofErr w:type="gramEnd"/>
      <w:r w:rsidRPr="00230202">
        <w:rPr>
          <w:rFonts w:ascii="Times New Roman" w:hAnsi="Times New Roman" w:cs="Times New Roman"/>
          <w:sz w:val="24"/>
          <w:lang w:val="en-US"/>
        </w:rPr>
        <w:t xml:space="preserve"> Econometric analysis and conclusions for the CIS // Journal of new economic Association. </w:t>
      </w:r>
      <w:r w:rsidRPr="00100DC0">
        <w:rPr>
          <w:rFonts w:ascii="Times New Roman" w:hAnsi="Times New Roman" w:cs="Times New Roman"/>
          <w:sz w:val="24"/>
          <w:lang w:val="en-US"/>
        </w:rPr>
        <w:t>2015. No. 4 (28), p. 142-166.</w:t>
      </w:r>
    </w:p>
    <w:p w:rsidR="00230202" w:rsidRPr="00230202" w:rsidRDefault="00230202" w:rsidP="00230202">
      <w:pPr>
        <w:spacing w:after="0" w:line="240" w:lineRule="auto"/>
        <w:ind w:firstLine="708"/>
      </w:pPr>
      <w:r w:rsidRPr="00DD40B1">
        <w:rPr>
          <w:rFonts w:ascii="Times New Roman" w:hAnsi="Times New Roman" w:cs="Times New Roman"/>
          <w:sz w:val="24"/>
          <w:szCs w:val="24"/>
          <w:lang w:val="en-US"/>
        </w:rPr>
        <w:t xml:space="preserve">4. </w:t>
      </w:r>
      <w:proofErr w:type="spellStart"/>
      <w:r w:rsidRPr="00DD40B1">
        <w:rPr>
          <w:rFonts w:ascii="Times New Roman" w:hAnsi="Times New Roman" w:cs="Times New Roman"/>
          <w:sz w:val="24"/>
          <w:szCs w:val="24"/>
          <w:lang w:val="en-US"/>
        </w:rPr>
        <w:t>Atabaeva</w:t>
      </w:r>
      <w:proofErr w:type="spellEnd"/>
      <w:r w:rsidRPr="00DD40B1">
        <w:rPr>
          <w:rFonts w:ascii="Times New Roman" w:hAnsi="Times New Roman" w:cs="Times New Roman"/>
          <w:sz w:val="24"/>
          <w:szCs w:val="24"/>
          <w:lang w:val="en-US"/>
        </w:rPr>
        <w:t xml:space="preserve"> </w:t>
      </w:r>
      <w:proofErr w:type="spellStart"/>
      <w:r w:rsidRPr="00DD40B1">
        <w:rPr>
          <w:rFonts w:ascii="Times New Roman" w:hAnsi="Times New Roman" w:cs="Times New Roman"/>
          <w:sz w:val="24"/>
          <w:szCs w:val="24"/>
          <w:lang w:val="en-US"/>
        </w:rPr>
        <w:t>Gulnaz</w:t>
      </w:r>
      <w:proofErr w:type="spellEnd"/>
      <w:r w:rsidRPr="00DD40B1">
        <w:rPr>
          <w:rFonts w:ascii="Times New Roman" w:hAnsi="Times New Roman" w:cs="Times New Roman"/>
          <w:sz w:val="24"/>
          <w:szCs w:val="24"/>
          <w:lang w:val="en-US"/>
        </w:rPr>
        <w:t xml:space="preserve">. The role of remittances in the economic development of Kyrgyzstan // </w:t>
      </w:r>
      <w:r w:rsidR="00E57902">
        <w:fldChar w:fldCharType="begin"/>
      </w:r>
      <w:r w:rsidR="00E57902" w:rsidRPr="00E57902">
        <w:rPr>
          <w:lang w:val="en-US"/>
        </w:rPr>
        <w:instrText xml:space="preserve"> HYPERLINK "http://elibrary.ru/contents.asp?issueid=1548774" \o "</w:instrText>
      </w:r>
      <w:r w:rsidR="00E57902">
        <w:instrText>Оглавления</w:instrText>
      </w:r>
      <w:r w:rsidR="00E57902" w:rsidRPr="00E57902">
        <w:rPr>
          <w:lang w:val="en-US"/>
        </w:rPr>
        <w:instrText xml:space="preserve"> </w:instrText>
      </w:r>
      <w:r w:rsidR="00E57902">
        <w:instrText>выпусков</w:instrText>
      </w:r>
      <w:r w:rsidR="00E57902" w:rsidRPr="00E57902">
        <w:rPr>
          <w:lang w:val="en-US"/>
        </w:rPr>
        <w:instrText xml:space="preserve"> </w:instrText>
      </w:r>
      <w:r w:rsidR="00E57902">
        <w:instrText>этого</w:instrText>
      </w:r>
      <w:r w:rsidR="00E57902" w:rsidRPr="00E57902">
        <w:rPr>
          <w:lang w:val="en-US"/>
        </w:rPr>
        <w:instrText xml:space="preserve"> </w:instrText>
      </w:r>
      <w:r w:rsidR="00E57902">
        <w:instrText>журнала</w:instrText>
      </w:r>
      <w:r w:rsidR="00E57902" w:rsidRPr="00E57902">
        <w:rPr>
          <w:lang w:val="en-US"/>
        </w:rPr>
        <w:instrText xml:space="preserve">" </w:instrText>
      </w:r>
      <w:r w:rsidR="00E57902">
        <w:fldChar w:fldCharType="separate"/>
      </w:r>
      <w:r w:rsidRPr="00DD40B1">
        <w:rPr>
          <w:rFonts w:ascii="Times New Roman" w:hAnsi="Times New Roman" w:cs="Times New Roman"/>
          <w:sz w:val="24"/>
          <w:szCs w:val="24"/>
          <w:lang w:val="en-US"/>
        </w:rPr>
        <w:t>ALATOO ACADEMIC STUDIES</w:t>
      </w:r>
      <w:r w:rsidR="00E57902">
        <w:rPr>
          <w:rFonts w:ascii="Times New Roman" w:hAnsi="Times New Roman" w:cs="Times New Roman"/>
          <w:sz w:val="24"/>
          <w:szCs w:val="24"/>
          <w:lang w:val="en-US"/>
        </w:rPr>
        <w:fldChar w:fldCharType="end"/>
      </w:r>
      <w:r w:rsidRPr="00DD40B1">
        <w:rPr>
          <w:rFonts w:ascii="Times New Roman" w:hAnsi="Times New Roman" w:cs="Times New Roman"/>
          <w:sz w:val="24"/>
          <w:szCs w:val="24"/>
          <w:lang w:val="en-US"/>
        </w:rPr>
        <w:t xml:space="preserve">. </w:t>
      </w:r>
      <w:r w:rsidRPr="00DD40B1">
        <w:rPr>
          <w:rFonts w:ascii="Times New Roman" w:hAnsi="Times New Roman" w:cs="Times New Roman"/>
          <w:sz w:val="24"/>
          <w:szCs w:val="24"/>
        </w:rPr>
        <w:t xml:space="preserve">2015. №4. </w:t>
      </w:r>
      <w:proofErr w:type="gramStart"/>
      <w:r w:rsidRPr="00DD40B1">
        <w:rPr>
          <w:rFonts w:ascii="Times New Roman" w:hAnsi="Times New Roman" w:cs="Times New Roman"/>
          <w:sz w:val="24"/>
          <w:szCs w:val="24"/>
          <w:lang w:val="en-US"/>
        </w:rPr>
        <w:t>P</w:t>
      </w:r>
      <w:r w:rsidRPr="00DD40B1">
        <w:rPr>
          <w:rFonts w:ascii="Times New Roman" w:hAnsi="Times New Roman" w:cs="Times New Roman"/>
          <w:sz w:val="24"/>
          <w:szCs w:val="24"/>
        </w:rPr>
        <w:t>. 156- 161</w:t>
      </w:r>
      <w:r>
        <w:rPr>
          <w:rFonts w:ascii="Times New Roman" w:hAnsi="Times New Roman" w:cs="Times New Roman"/>
          <w:sz w:val="24"/>
          <w:szCs w:val="24"/>
        </w:rPr>
        <w:t>.</w:t>
      </w:r>
      <w:proofErr w:type="gramEnd"/>
    </w:p>
    <w:sectPr w:rsidR="00230202" w:rsidRPr="00230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49" w:rsidRDefault="007C3549" w:rsidP="009C1FAF">
      <w:pPr>
        <w:spacing w:after="0" w:line="240" w:lineRule="auto"/>
      </w:pPr>
      <w:r>
        <w:separator/>
      </w:r>
    </w:p>
  </w:endnote>
  <w:endnote w:type="continuationSeparator" w:id="0">
    <w:p w:rsidR="007C3549" w:rsidRDefault="007C3549" w:rsidP="009C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49" w:rsidRDefault="007C3549" w:rsidP="009C1FAF">
      <w:pPr>
        <w:spacing w:after="0" w:line="240" w:lineRule="auto"/>
      </w:pPr>
      <w:r>
        <w:separator/>
      </w:r>
    </w:p>
  </w:footnote>
  <w:footnote w:type="continuationSeparator" w:id="0">
    <w:p w:rsidR="007C3549" w:rsidRDefault="007C3549" w:rsidP="009C1FAF">
      <w:pPr>
        <w:spacing w:after="0" w:line="240" w:lineRule="auto"/>
      </w:pPr>
      <w:r>
        <w:continuationSeparator/>
      </w:r>
    </w:p>
  </w:footnote>
  <w:footnote w:id="1">
    <w:p w:rsidR="009C1FAF" w:rsidRPr="00B01058" w:rsidRDefault="009C1FAF" w:rsidP="009C1FAF">
      <w:pPr>
        <w:pStyle w:val="a3"/>
        <w:jc w:val="both"/>
        <w:rPr>
          <w:rFonts w:ascii="Times New Roman" w:hAnsi="Times New Roman"/>
          <w:lang w:val="ru-RU"/>
        </w:rPr>
      </w:pPr>
      <w:r w:rsidRPr="00B01058">
        <w:rPr>
          <w:rStyle w:val="a5"/>
          <w:rFonts w:ascii="Times New Roman" w:hAnsi="Times New Roman"/>
        </w:rPr>
        <w:footnoteRef/>
      </w:r>
      <w:r>
        <w:rPr>
          <w:rFonts w:ascii="Times New Roman" w:hAnsi="Times New Roman"/>
          <w:lang w:val="ru-RU"/>
        </w:rPr>
        <w:t xml:space="preserve"> По данным отчета Мирового банка</w:t>
      </w:r>
      <w:r w:rsidRPr="00B01058">
        <w:rPr>
          <w:rFonts w:ascii="Times New Roman" w:hAnsi="Times New Roman"/>
          <w:lang w:val="ru-RU"/>
        </w:rPr>
        <w:t xml:space="preserve"> </w:t>
      </w:r>
      <w:r>
        <w:rPr>
          <w:rFonts w:ascii="Times New Roman" w:hAnsi="Times New Roman"/>
          <w:lang w:val="ru-RU"/>
        </w:rPr>
        <w:t>«</w:t>
      </w:r>
      <w:r>
        <w:rPr>
          <w:rFonts w:ascii="Times New Roman" w:hAnsi="Times New Roman"/>
          <w:lang w:val="en-US"/>
        </w:rPr>
        <w:t>Migration</w:t>
      </w:r>
      <w:r w:rsidRPr="00B01058">
        <w:rPr>
          <w:rFonts w:ascii="Times New Roman" w:hAnsi="Times New Roman"/>
          <w:lang w:val="ru-RU"/>
        </w:rPr>
        <w:t xml:space="preserve"> </w:t>
      </w:r>
      <w:r>
        <w:rPr>
          <w:rFonts w:ascii="Times New Roman" w:hAnsi="Times New Roman"/>
          <w:lang w:val="en-US"/>
        </w:rPr>
        <w:t>and</w:t>
      </w:r>
      <w:r w:rsidRPr="00B01058">
        <w:rPr>
          <w:rFonts w:ascii="Times New Roman" w:hAnsi="Times New Roman"/>
          <w:lang w:val="ru-RU"/>
        </w:rPr>
        <w:t xml:space="preserve"> </w:t>
      </w:r>
      <w:r>
        <w:rPr>
          <w:rFonts w:ascii="Times New Roman" w:hAnsi="Times New Roman"/>
          <w:lang w:val="en-US"/>
        </w:rPr>
        <w:t>Remittances</w:t>
      </w:r>
      <w:r w:rsidRPr="00B01058">
        <w:rPr>
          <w:rFonts w:ascii="Times New Roman" w:hAnsi="Times New Roman"/>
          <w:lang w:val="ru-RU"/>
        </w:rPr>
        <w:t xml:space="preserve"> </w:t>
      </w:r>
      <w:r>
        <w:rPr>
          <w:rFonts w:ascii="Times New Roman" w:hAnsi="Times New Roman"/>
          <w:lang w:val="en-US"/>
        </w:rPr>
        <w:t>Data</w:t>
      </w:r>
      <w:r>
        <w:rPr>
          <w:rFonts w:ascii="Times New Roman" w:hAnsi="Times New Roman"/>
          <w:lang w:val="ru-RU"/>
        </w:rPr>
        <w:t>»</w:t>
      </w:r>
      <w:r w:rsidRPr="00B01058">
        <w:rPr>
          <w:rFonts w:ascii="Times New Roman" w:hAnsi="Times New Roman"/>
          <w:lang w:val="ru-RU"/>
        </w:rPr>
        <w:t xml:space="preserve"> (</w:t>
      </w:r>
      <w:proofErr w:type="spellStart"/>
      <w:r>
        <w:rPr>
          <w:rFonts w:ascii="Times New Roman" w:hAnsi="Times New Roman"/>
          <w:lang w:val="en-US"/>
        </w:rPr>
        <w:t>oct</w:t>
      </w:r>
      <w:proofErr w:type="spellEnd"/>
      <w:r w:rsidRPr="00B01058">
        <w:rPr>
          <w:rFonts w:ascii="Times New Roman" w:hAnsi="Times New Roman"/>
          <w:lang w:val="ru-RU"/>
        </w:rPr>
        <w:t>.2015)</w:t>
      </w:r>
      <w:r>
        <w:rPr>
          <w:rFonts w:ascii="Times New Roman" w:hAnsi="Times New Roman"/>
          <w:lang w:val="ru-RU"/>
        </w:rPr>
        <w:t xml:space="preserve"> в 2014 г. общий объем денежных переводов составил 580 млрд. дол.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AF"/>
    <w:rsid w:val="00100DC0"/>
    <w:rsid w:val="001E545E"/>
    <w:rsid w:val="00230202"/>
    <w:rsid w:val="002D3F76"/>
    <w:rsid w:val="003674E2"/>
    <w:rsid w:val="007C3549"/>
    <w:rsid w:val="00816CD1"/>
    <w:rsid w:val="009C1FAF"/>
    <w:rsid w:val="00C54AE6"/>
    <w:rsid w:val="00CF42E2"/>
    <w:rsid w:val="00D20E0C"/>
    <w:rsid w:val="00E57902"/>
    <w:rsid w:val="00F1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C1FAF"/>
    <w:pPr>
      <w:spacing w:after="0" w:line="240" w:lineRule="auto"/>
    </w:pPr>
    <w:rPr>
      <w:rFonts w:ascii="Calibri" w:eastAsia="Times New Roman" w:hAnsi="Calibri" w:cs="Times New Roman"/>
      <w:sz w:val="20"/>
      <w:szCs w:val="20"/>
      <w:lang w:val="x-none" w:eastAsia="ru-RU"/>
    </w:rPr>
  </w:style>
  <w:style w:type="character" w:customStyle="1" w:styleId="a4">
    <w:name w:val="Текст сноски Знак"/>
    <w:basedOn w:val="a0"/>
    <w:link w:val="a3"/>
    <w:rsid w:val="009C1FAF"/>
    <w:rPr>
      <w:rFonts w:ascii="Calibri" w:eastAsia="Times New Roman" w:hAnsi="Calibri" w:cs="Times New Roman"/>
      <w:sz w:val="20"/>
      <w:szCs w:val="20"/>
      <w:lang w:val="x-none" w:eastAsia="ru-RU"/>
    </w:rPr>
  </w:style>
  <w:style w:type="character" w:styleId="a5">
    <w:name w:val="footnote reference"/>
    <w:semiHidden/>
    <w:rsid w:val="009C1FAF"/>
    <w:rPr>
      <w:rFonts w:cs="Times New Roman"/>
      <w:vertAlign w:val="superscript"/>
    </w:rPr>
  </w:style>
  <w:style w:type="paragraph" w:styleId="a6">
    <w:name w:val="caption"/>
    <w:basedOn w:val="a"/>
    <w:next w:val="a"/>
    <w:uiPriority w:val="35"/>
    <w:unhideWhenUsed/>
    <w:qFormat/>
    <w:rsid w:val="009C1FAF"/>
    <w:pPr>
      <w:spacing w:line="240" w:lineRule="auto"/>
    </w:pPr>
    <w:rPr>
      <w:b/>
      <w:bCs/>
      <w:color w:val="4F81BD" w:themeColor="accent1"/>
      <w:sz w:val="18"/>
      <w:szCs w:val="18"/>
    </w:rPr>
  </w:style>
  <w:style w:type="paragraph" w:styleId="a7">
    <w:name w:val="Balloon Text"/>
    <w:basedOn w:val="a"/>
    <w:link w:val="a8"/>
    <w:uiPriority w:val="99"/>
    <w:semiHidden/>
    <w:unhideWhenUsed/>
    <w:rsid w:val="009C1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FAF"/>
    <w:rPr>
      <w:rFonts w:ascii="Tahoma" w:hAnsi="Tahoma" w:cs="Tahoma"/>
      <w:sz w:val="16"/>
      <w:szCs w:val="16"/>
    </w:rPr>
  </w:style>
  <w:style w:type="character" w:styleId="a9">
    <w:name w:val="Hyperlink"/>
    <w:basedOn w:val="a0"/>
    <w:uiPriority w:val="99"/>
    <w:unhideWhenUsed/>
    <w:rsid w:val="009C1FAF"/>
    <w:rPr>
      <w:color w:val="0000FF"/>
      <w:u w:val="single"/>
    </w:rPr>
  </w:style>
  <w:style w:type="table" w:styleId="aa">
    <w:name w:val="Table Grid"/>
    <w:basedOn w:val="a1"/>
    <w:uiPriority w:val="59"/>
    <w:rsid w:val="009C1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Definition"/>
    <w:uiPriority w:val="99"/>
    <w:semiHidden/>
    <w:unhideWhenUsed/>
    <w:rsid w:val="003674E2"/>
    <w:rPr>
      <w:i/>
      <w:iCs/>
    </w:rPr>
  </w:style>
  <w:style w:type="character" w:customStyle="1" w:styleId="b-message-heademail">
    <w:name w:val="b-message-head__email"/>
    <w:rsid w:val="00C54AE6"/>
  </w:style>
  <w:style w:type="character" w:customStyle="1" w:styleId="hps">
    <w:name w:val="hps"/>
    <w:rsid w:val="00C5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C1FAF"/>
    <w:pPr>
      <w:spacing w:after="0" w:line="240" w:lineRule="auto"/>
    </w:pPr>
    <w:rPr>
      <w:rFonts w:ascii="Calibri" w:eastAsia="Times New Roman" w:hAnsi="Calibri" w:cs="Times New Roman"/>
      <w:sz w:val="20"/>
      <w:szCs w:val="20"/>
      <w:lang w:val="x-none" w:eastAsia="ru-RU"/>
    </w:rPr>
  </w:style>
  <w:style w:type="character" w:customStyle="1" w:styleId="a4">
    <w:name w:val="Текст сноски Знак"/>
    <w:basedOn w:val="a0"/>
    <w:link w:val="a3"/>
    <w:rsid w:val="009C1FAF"/>
    <w:rPr>
      <w:rFonts w:ascii="Calibri" w:eastAsia="Times New Roman" w:hAnsi="Calibri" w:cs="Times New Roman"/>
      <w:sz w:val="20"/>
      <w:szCs w:val="20"/>
      <w:lang w:val="x-none" w:eastAsia="ru-RU"/>
    </w:rPr>
  </w:style>
  <w:style w:type="character" w:styleId="a5">
    <w:name w:val="footnote reference"/>
    <w:semiHidden/>
    <w:rsid w:val="009C1FAF"/>
    <w:rPr>
      <w:rFonts w:cs="Times New Roman"/>
      <w:vertAlign w:val="superscript"/>
    </w:rPr>
  </w:style>
  <w:style w:type="paragraph" w:styleId="a6">
    <w:name w:val="caption"/>
    <w:basedOn w:val="a"/>
    <w:next w:val="a"/>
    <w:uiPriority w:val="35"/>
    <w:unhideWhenUsed/>
    <w:qFormat/>
    <w:rsid w:val="009C1FAF"/>
    <w:pPr>
      <w:spacing w:line="240" w:lineRule="auto"/>
    </w:pPr>
    <w:rPr>
      <w:b/>
      <w:bCs/>
      <w:color w:val="4F81BD" w:themeColor="accent1"/>
      <w:sz w:val="18"/>
      <w:szCs w:val="18"/>
    </w:rPr>
  </w:style>
  <w:style w:type="paragraph" w:styleId="a7">
    <w:name w:val="Balloon Text"/>
    <w:basedOn w:val="a"/>
    <w:link w:val="a8"/>
    <w:uiPriority w:val="99"/>
    <w:semiHidden/>
    <w:unhideWhenUsed/>
    <w:rsid w:val="009C1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FAF"/>
    <w:rPr>
      <w:rFonts w:ascii="Tahoma" w:hAnsi="Tahoma" w:cs="Tahoma"/>
      <w:sz w:val="16"/>
      <w:szCs w:val="16"/>
    </w:rPr>
  </w:style>
  <w:style w:type="character" w:styleId="a9">
    <w:name w:val="Hyperlink"/>
    <w:basedOn w:val="a0"/>
    <w:uiPriority w:val="99"/>
    <w:unhideWhenUsed/>
    <w:rsid w:val="009C1FAF"/>
    <w:rPr>
      <w:color w:val="0000FF"/>
      <w:u w:val="single"/>
    </w:rPr>
  </w:style>
  <w:style w:type="table" w:styleId="aa">
    <w:name w:val="Table Grid"/>
    <w:basedOn w:val="a1"/>
    <w:uiPriority w:val="59"/>
    <w:rsid w:val="009C1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Definition"/>
    <w:uiPriority w:val="99"/>
    <w:semiHidden/>
    <w:unhideWhenUsed/>
    <w:rsid w:val="003674E2"/>
    <w:rPr>
      <w:i/>
      <w:iCs/>
    </w:rPr>
  </w:style>
  <w:style w:type="character" w:customStyle="1" w:styleId="b-message-heademail">
    <w:name w:val="b-message-head__email"/>
    <w:rsid w:val="00C54AE6"/>
  </w:style>
  <w:style w:type="character" w:customStyle="1" w:styleId="hps">
    <w:name w:val="hps"/>
    <w:rsid w:val="00C5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cisstat.com" TargetMode="External"/><Relationship Id="rId3" Type="http://schemas.microsoft.com/office/2007/relationships/stylesWithEffects" Target="stylesWithEffect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mailto:tyevgeniy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mailto:tyevgeniya@yandex.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cisstat.co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Science\Documents\&#1045;&#1074;&#1075;&#1077;&#1085;&#1080;&#1103;\&#1076;&#1080;&#1089;&#1089;&#1077;&#1088;&#1090;&#1072;&#1094;&#1080;&#1103;_&#1085;\&#1052;&#1080;&#1075;&#1088;&#1072;&#1094;&#1080;&#1103;\&#1089;&#1090;&#1072;&#1090;&#1080;&#1089;&#1090;&#1080;&#1082;&#1072;\&#1076;&#1077;&#1085;&#1077;&#1078;&#1085;&#1099;&#1077;%20&#1087;&#1077;&#1088;&#1077;&#1074;&#1086;&#1076;&#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62861894171625"/>
          <c:y val="0.11577422264142688"/>
          <c:w val="0.88639959127246504"/>
          <c:h val="0.70321597088688526"/>
        </c:manualLayout>
      </c:layout>
      <c:barChart>
        <c:barDir val="col"/>
        <c:grouping val="stacked"/>
        <c:varyColors val="0"/>
        <c:ser>
          <c:idx val="1"/>
          <c:order val="0"/>
          <c:tx>
            <c:strRef>
              <c:f>ден.перев_СНГ!$A$50</c:f>
              <c:strCache>
                <c:ptCount val="1"/>
                <c:pt idx="0">
                  <c:v>Страны дальнего зарубежья</c:v>
                </c:pt>
              </c:strCache>
            </c:strRef>
          </c:tx>
          <c:spPr>
            <a:solidFill>
              <a:schemeClr val="tx1">
                <a:lumMod val="65000"/>
                <a:lumOff val="35000"/>
              </a:schemeClr>
            </a:solidFill>
          </c:spPr>
          <c:invertIfNegative val="0"/>
          <c:cat>
            <c:strRef>
              <c:f>ден.перев_СНГ!$B$38:$K$38</c:f>
              <c:strCache>
                <c:ptCount val="10"/>
                <c:pt idx="0">
                  <c:v>2006 г.</c:v>
                </c:pt>
                <c:pt idx="1">
                  <c:v>2007 г.</c:v>
                </c:pt>
                <c:pt idx="2">
                  <c:v>2008 г.</c:v>
                </c:pt>
                <c:pt idx="3">
                  <c:v>2009 г.</c:v>
                </c:pt>
                <c:pt idx="4">
                  <c:v>2010 г.</c:v>
                </c:pt>
                <c:pt idx="5">
                  <c:v>2011 г.</c:v>
                </c:pt>
                <c:pt idx="6">
                  <c:v>2012 г.</c:v>
                </c:pt>
                <c:pt idx="7">
                  <c:v>2013 г.</c:v>
                </c:pt>
                <c:pt idx="8">
                  <c:v>2014 г.</c:v>
                </c:pt>
                <c:pt idx="9">
                  <c:v>2015 г.</c:v>
                </c:pt>
              </c:strCache>
            </c:strRef>
          </c:cat>
          <c:val>
            <c:numRef>
              <c:f>ден.перев_СНГ!$B$50:$K$50</c:f>
              <c:numCache>
                <c:formatCode>#,##0.0</c:formatCode>
                <c:ptCount val="10"/>
                <c:pt idx="0">
                  <c:v>516.20000000000005</c:v>
                </c:pt>
                <c:pt idx="1">
                  <c:v>868.4</c:v>
                </c:pt>
                <c:pt idx="2">
                  <c:v>1098</c:v>
                </c:pt>
                <c:pt idx="3">
                  <c:v>1047.7</c:v>
                </c:pt>
                <c:pt idx="4">
                  <c:v>1754.8</c:v>
                </c:pt>
                <c:pt idx="5">
                  <c:v>2390.4</c:v>
                </c:pt>
                <c:pt idx="6">
                  <c:v>2683.3</c:v>
                </c:pt>
                <c:pt idx="7">
                  <c:v>2808</c:v>
                </c:pt>
                <c:pt idx="8">
                  <c:v>2565</c:v>
                </c:pt>
                <c:pt idx="9">
                  <c:v>1740</c:v>
                </c:pt>
              </c:numCache>
            </c:numRef>
          </c:val>
        </c:ser>
        <c:ser>
          <c:idx val="2"/>
          <c:order val="1"/>
          <c:tx>
            <c:strRef>
              <c:f>ден.перев_СНГ!$A$51</c:f>
              <c:strCache>
                <c:ptCount val="1"/>
                <c:pt idx="0">
                  <c:v>Страны СНГ, Грузия и Абхазия</c:v>
                </c:pt>
              </c:strCache>
            </c:strRef>
          </c:tx>
          <c:spPr>
            <a:solidFill>
              <a:schemeClr val="bg1">
                <a:lumMod val="65000"/>
              </a:schemeClr>
            </a:solidFill>
          </c:spPr>
          <c:invertIfNegative val="0"/>
          <c:dLbls>
            <c:dLbl>
              <c:idx val="0"/>
              <c:tx>
                <c:rich>
                  <a:bodyPr/>
                  <a:lstStyle/>
                  <a:p>
                    <a:r>
                      <a:rPr lang="en-US"/>
                      <a:t>90,1%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90,8%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92,0%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89,5%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86,3%9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86,4%</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87,2%</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88,1%</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87,7%</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82,1%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ден.перев_СНГ!$B$38:$K$38</c:f>
              <c:strCache>
                <c:ptCount val="10"/>
                <c:pt idx="0">
                  <c:v>2006 г.</c:v>
                </c:pt>
                <c:pt idx="1">
                  <c:v>2007 г.</c:v>
                </c:pt>
                <c:pt idx="2">
                  <c:v>2008 г.</c:v>
                </c:pt>
                <c:pt idx="3">
                  <c:v>2009 г.</c:v>
                </c:pt>
                <c:pt idx="4">
                  <c:v>2010 г.</c:v>
                </c:pt>
                <c:pt idx="5">
                  <c:v>2011 г.</c:v>
                </c:pt>
                <c:pt idx="6">
                  <c:v>2012 г.</c:v>
                </c:pt>
                <c:pt idx="7">
                  <c:v>2013 г.</c:v>
                </c:pt>
                <c:pt idx="8">
                  <c:v>2014 г.</c:v>
                </c:pt>
                <c:pt idx="9">
                  <c:v>2015 г.</c:v>
                </c:pt>
              </c:strCache>
            </c:strRef>
          </c:cat>
          <c:val>
            <c:numRef>
              <c:f>ден.перев_СНГ!$B$51:$K$51</c:f>
              <c:numCache>
                <c:formatCode>General</c:formatCode>
                <c:ptCount val="10"/>
                <c:pt idx="0">
                  <c:v>4673.6000000000004</c:v>
                </c:pt>
                <c:pt idx="1">
                  <c:v>8575.2999999999993</c:v>
                </c:pt>
                <c:pt idx="2">
                  <c:v>12608.6</c:v>
                </c:pt>
                <c:pt idx="3">
                  <c:v>9079.9</c:v>
                </c:pt>
                <c:pt idx="4">
                  <c:v>11666.9</c:v>
                </c:pt>
                <c:pt idx="5">
                  <c:v>15846.3</c:v>
                </c:pt>
                <c:pt idx="6">
                  <c:v>18983.2</c:v>
                </c:pt>
                <c:pt idx="7">
                  <c:v>21612</c:v>
                </c:pt>
                <c:pt idx="8">
                  <c:v>19024</c:v>
                </c:pt>
                <c:pt idx="9">
                  <c:v>8363</c:v>
                </c:pt>
              </c:numCache>
            </c:numRef>
          </c:val>
        </c:ser>
        <c:dLbls>
          <c:showLegendKey val="0"/>
          <c:showVal val="0"/>
          <c:showCatName val="0"/>
          <c:showSerName val="0"/>
          <c:showPercent val="0"/>
          <c:showBubbleSize val="0"/>
        </c:dLbls>
        <c:gapWidth val="150"/>
        <c:overlap val="100"/>
        <c:axId val="110953216"/>
        <c:axId val="110981504"/>
      </c:barChart>
      <c:catAx>
        <c:axId val="110953216"/>
        <c:scaling>
          <c:orientation val="minMax"/>
        </c:scaling>
        <c:delete val="0"/>
        <c:axPos val="b"/>
        <c:numFmt formatCode="General" sourceLinked="0"/>
        <c:majorTickMark val="out"/>
        <c:minorTickMark val="none"/>
        <c:tickLblPos val="nextTo"/>
        <c:crossAx val="110981504"/>
        <c:crosses val="autoZero"/>
        <c:auto val="1"/>
        <c:lblAlgn val="ctr"/>
        <c:lblOffset val="100"/>
        <c:noMultiLvlLbl val="0"/>
      </c:catAx>
      <c:valAx>
        <c:axId val="110981504"/>
        <c:scaling>
          <c:orientation val="minMax"/>
          <c:max val="25000"/>
        </c:scaling>
        <c:delete val="0"/>
        <c:axPos val="l"/>
        <c:majorGridlines>
          <c:spPr>
            <a:ln w="6350">
              <a:prstDash val="sysDash"/>
            </a:ln>
          </c:spPr>
        </c:majorGridlines>
        <c:numFmt formatCode="#,##0" sourceLinked="0"/>
        <c:majorTickMark val="out"/>
        <c:minorTickMark val="none"/>
        <c:tickLblPos val="nextTo"/>
        <c:crossAx val="11095321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Лист4!$B$33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Лист4!$B$34:$B$42</c:f>
              <c:numCache>
                <c:formatCode>General</c:formatCode>
                <c:ptCount val="9"/>
                <c:pt idx="0">
                  <c:v>840</c:v>
                </c:pt>
                <c:pt idx="1">
                  <c:v>922</c:v>
                </c:pt>
                <c:pt idx="2">
                  <c:v>706</c:v>
                </c:pt>
                <c:pt idx="3">
                  <c:v>677</c:v>
                </c:pt>
                <c:pt idx="4">
                  <c:v>683</c:v>
                </c:pt>
                <c:pt idx="5">
                  <c:v>663</c:v>
                </c:pt>
                <c:pt idx="6">
                  <c:v>683</c:v>
                </c:pt>
                <c:pt idx="7">
                  <c:v>655</c:v>
                </c:pt>
              </c:numCache>
            </c:numRef>
          </c:val>
        </c:ser>
        <c:ser>
          <c:idx val="1"/>
          <c:order val="1"/>
          <c:tx>
            <c:strRef>
              <c:f>Лист4!$C$33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Лист4!$C$34:$C$42</c:f>
              <c:numCache>
                <c:formatCode>General</c:formatCode>
                <c:ptCount val="9"/>
                <c:pt idx="0">
                  <c:v>252</c:v>
                </c:pt>
                <c:pt idx="1">
                  <c:v>334</c:v>
                </c:pt>
                <c:pt idx="2">
                  <c:v>371</c:v>
                </c:pt>
                <c:pt idx="3">
                  <c:v>413</c:v>
                </c:pt>
                <c:pt idx="4">
                  <c:v>461</c:v>
                </c:pt>
                <c:pt idx="5">
                  <c:v>507</c:v>
                </c:pt>
                <c:pt idx="6">
                  <c:v>542</c:v>
                </c:pt>
                <c:pt idx="7">
                  <c:v>567</c:v>
                </c:pt>
                <c:pt idx="8">
                  <c:v>453</c:v>
                </c:pt>
              </c:numCache>
            </c:numRef>
          </c:val>
        </c:ser>
        <c:dLbls>
          <c:showLegendKey val="0"/>
          <c:showVal val="0"/>
          <c:showCatName val="0"/>
          <c:showSerName val="0"/>
          <c:showPercent val="0"/>
          <c:showBubbleSize val="0"/>
        </c:dLbls>
        <c:gapWidth val="150"/>
        <c:axId val="50965888"/>
        <c:axId val="50979968"/>
      </c:barChart>
      <c:catAx>
        <c:axId val="50965888"/>
        <c:scaling>
          <c:orientation val="minMax"/>
        </c:scaling>
        <c:delete val="0"/>
        <c:axPos val="b"/>
        <c:numFmt formatCode="General" sourceLinked="1"/>
        <c:majorTickMark val="out"/>
        <c:minorTickMark val="none"/>
        <c:tickLblPos val="nextTo"/>
        <c:txPr>
          <a:bodyPr rot="-2700000"/>
          <a:lstStyle/>
          <a:p>
            <a:pPr>
              <a:defRPr sz="800"/>
            </a:pPr>
            <a:endParaRPr lang="ru-RU"/>
          </a:p>
        </c:txPr>
        <c:crossAx val="50979968"/>
        <c:crosses val="autoZero"/>
        <c:auto val="1"/>
        <c:lblAlgn val="ctr"/>
        <c:lblOffset val="100"/>
        <c:noMultiLvlLbl val="0"/>
      </c:catAx>
      <c:valAx>
        <c:axId val="50979968"/>
        <c:scaling>
          <c:orientation val="minMax"/>
        </c:scaling>
        <c:delete val="0"/>
        <c:axPos val="l"/>
        <c:majorGridlines>
          <c:spPr>
            <a:ln w="6350">
              <a:prstDash val="sysDash"/>
            </a:ln>
          </c:spPr>
        </c:majorGridlines>
        <c:numFmt formatCode="General" sourceLinked="1"/>
        <c:majorTickMark val="out"/>
        <c:minorTickMark val="none"/>
        <c:tickLblPos val="nextTo"/>
        <c:crossAx val="5096588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Лист4!$D$33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Лист4!$D$34:$D$42</c:f>
              <c:numCache>
                <c:formatCode>General</c:formatCode>
                <c:ptCount val="9"/>
                <c:pt idx="0">
                  <c:v>850</c:v>
                </c:pt>
                <c:pt idx="1">
                  <c:v>992</c:v>
                </c:pt>
                <c:pt idx="2">
                  <c:v>677</c:v>
                </c:pt>
                <c:pt idx="3">
                  <c:v>647</c:v>
                </c:pt>
                <c:pt idx="4">
                  <c:v>432</c:v>
                </c:pt>
                <c:pt idx="5">
                  <c:v>381</c:v>
                </c:pt>
                <c:pt idx="6">
                  <c:v>262</c:v>
                </c:pt>
                <c:pt idx="7">
                  <c:v>297</c:v>
                </c:pt>
              </c:numCache>
            </c:numRef>
          </c:val>
        </c:ser>
        <c:ser>
          <c:idx val="1"/>
          <c:order val="1"/>
          <c:tx>
            <c:strRef>
              <c:f>Лист4!$E$33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Лист4!$E$34:$E$42</c:f>
              <c:numCache>
                <c:formatCode>General</c:formatCode>
                <c:ptCount val="9"/>
                <c:pt idx="0">
                  <c:v>217</c:v>
                </c:pt>
                <c:pt idx="1">
                  <c:v>286</c:v>
                </c:pt>
                <c:pt idx="2">
                  <c:v>264</c:v>
                </c:pt>
                <c:pt idx="3">
                  <c:v>248</c:v>
                </c:pt>
                <c:pt idx="4">
                  <c:v>290</c:v>
                </c:pt>
                <c:pt idx="5">
                  <c:v>282</c:v>
                </c:pt>
                <c:pt idx="6">
                  <c:v>358</c:v>
                </c:pt>
                <c:pt idx="7">
                  <c:v>381</c:v>
                </c:pt>
                <c:pt idx="8">
                  <c:v>386</c:v>
                </c:pt>
              </c:numCache>
            </c:numRef>
          </c:val>
        </c:ser>
        <c:dLbls>
          <c:showLegendKey val="0"/>
          <c:showVal val="0"/>
          <c:showCatName val="0"/>
          <c:showSerName val="0"/>
          <c:showPercent val="0"/>
          <c:showBubbleSize val="0"/>
        </c:dLbls>
        <c:gapWidth val="150"/>
        <c:axId val="70555520"/>
        <c:axId val="70557056"/>
      </c:barChart>
      <c:catAx>
        <c:axId val="70555520"/>
        <c:scaling>
          <c:orientation val="minMax"/>
        </c:scaling>
        <c:delete val="0"/>
        <c:axPos val="b"/>
        <c:numFmt formatCode="General" sourceLinked="1"/>
        <c:majorTickMark val="out"/>
        <c:minorTickMark val="none"/>
        <c:tickLblPos val="nextTo"/>
        <c:txPr>
          <a:bodyPr rot="-2700000"/>
          <a:lstStyle/>
          <a:p>
            <a:pPr>
              <a:defRPr sz="800"/>
            </a:pPr>
            <a:endParaRPr lang="ru-RU"/>
          </a:p>
        </c:txPr>
        <c:crossAx val="70557056"/>
        <c:crosses val="autoZero"/>
        <c:auto val="1"/>
        <c:lblAlgn val="ctr"/>
        <c:lblOffset val="100"/>
        <c:noMultiLvlLbl val="0"/>
      </c:catAx>
      <c:valAx>
        <c:axId val="70557056"/>
        <c:scaling>
          <c:orientation val="minMax"/>
        </c:scaling>
        <c:delete val="0"/>
        <c:axPos val="l"/>
        <c:majorGridlines>
          <c:spPr>
            <a:ln w="6350">
              <a:prstDash val="sysDash"/>
            </a:ln>
          </c:spPr>
        </c:majorGridlines>
        <c:numFmt formatCode="General" sourceLinked="1"/>
        <c:majorTickMark val="out"/>
        <c:minorTickMark val="none"/>
        <c:tickLblPos val="nextTo"/>
        <c:crossAx val="7055552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Лист4!$F$33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Лист4!$F$34:$F$42</c:f>
              <c:numCache>
                <c:formatCode>General</c:formatCode>
                <c:ptCount val="9"/>
                <c:pt idx="0">
                  <c:v>239</c:v>
                </c:pt>
                <c:pt idx="1">
                  <c:v>325</c:v>
                </c:pt>
                <c:pt idx="2">
                  <c:v>246</c:v>
                </c:pt>
                <c:pt idx="3">
                  <c:v>362</c:v>
                </c:pt>
                <c:pt idx="4">
                  <c:v>433</c:v>
                </c:pt>
                <c:pt idx="5">
                  <c:v>310</c:v>
                </c:pt>
                <c:pt idx="6">
                  <c:v>472</c:v>
                </c:pt>
                <c:pt idx="7">
                  <c:v>393</c:v>
                </c:pt>
              </c:numCache>
            </c:numRef>
          </c:val>
        </c:ser>
        <c:ser>
          <c:idx val="1"/>
          <c:order val="1"/>
          <c:tx>
            <c:strRef>
              <c:f>Лист4!$G$33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Лист4!$G$34:$G$42</c:f>
              <c:numCache>
                <c:formatCode>General</c:formatCode>
                <c:ptCount val="9"/>
                <c:pt idx="0">
                  <c:v>323</c:v>
                </c:pt>
                <c:pt idx="1">
                  <c:v>404</c:v>
                </c:pt>
                <c:pt idx="2">
                  <c:v>350</c:v>
                </c:pt>
                <c:pt idx="3">
                  <c:v>407</c:v>
                </c:pt>
                <c:pt idx="4">
                  <c:v>338.9</c:v>
                </c:pt>
                <c:pt idx="5">
                  <c:v>439</c:v>
                </c:pt>
                <c:pt idx="6">
                  <c:v>564</c:v>
                </c:pt>
                <c:pt idx="7">
                  <c:v>590</c:v>
                </c:pt>
                <c:pt idx="8">
                  <c:v>413</c:v>
                </c:pt>
              </c:numCache>
            </c:numRef>
          </c:val>
        </c:ser>
        <c:dLbls>
          <c:showLegendKey val="0"/>
          <c:showVal val="0"/>
          <c:showCatName val="0"/>
          <c:showSerName val="0"/>
          <c:showPercent val="0"/>
          <c:showBubbleSize val="0"/>
        </c:dLbls>
        <c:gapWidth val="150"/>
        <c:axId val="70762880"/>
        <c:axId val="70764416"/>
      </c:barChart>
      <c:catAx>
        <c:axId val="70762880"/>
        <c:scaling>
          <c:orientation val="minMax"/>
        </c:scaling>
        <c:delete val="0"/>
        <c:axPos val="b"/>
        <c:numFmt formatCode="General" sourceLinked="1"/>
        <c:majorTickMark val="out"/>
        <c:minorTickMark val="none"/>
        <c:tickLblPos val="nextTo"/>
        <c:txPr>
          <a:bodyPr rot="-2700000"/>
          <a:lstStyle/>
          <a:p>
            <a:pPr>
              <a:defRPr sz="800"/>
            </a:pPr>
            <a:endParaRPr lang="ru-RU"/>
          </a:p>
        </c:txPr>
        <c:crossAx val="70764416"/>
        <c:crosses val="autoZero"/>
        <c:auto val="1"/>
        <c:lblAlgn val="ctr"/>
        <c:lblOffset val="100"/>
        <c:noMultiLvlLbl val="0"/>
      </c:catAx>
      <c:valAx>
        <c:axId val="70764416"/>
        <c:scaling>
          <c:orientation val="minMax"/>
        </c:scaling>
        <c:delete val="0"/>
        <c:axPos val="l"/>
        <c:majorGridlines>
          <c:spPr>
            <a:ln w="6350">
              <a:prstDash val="sysDash"/>
            </a:ln>
          </c:spPr>
        </c:majorGridlines>
        <c:numFmt formatCode="General" sourceLinked="1"/>
        <c:majorTickMark val="out"/>
        <c:minorTickMark val="none"/>
        <c:tickLblPos val="nextTo"/>
        <c:crossAx val="7076288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Лист4!$H$33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Лист4!$H$34:$H$42</c:f>
              <c:numCache>
                <c:formatCode>General</c:formatCode>
                <c:ptCount val="9"/>
                <c:pt idx="0">
                  <c:v>529</c:v>
                </c:pt>
                <c:pt idx="1">
                  <c:v>684</c:v>
                </c:pt>
                <c:pt idx="2">
                  <c:v>511</c:v>
                </c:pt>
                <c:pt idx="3">
                  <c:v>634</c:v>
                </c:pt>
                <c:pt idx="4">
                  <c:v>665</c:v>
                </c:pt>
                <c:pt idx="5">
                  <c:v>514</c:v>
                </c:pt>
                <c:pt idx="6">
                  <c:v>435</c:v>
                </c:pt>
                <c:pt idx="7">
                  <c:v>368</c:v>
                </c:pt>
              </c:numCache>
            </c:numRef>
          </c:val>
        </c:ser>
        <c:ser>
          <c:idx val="1"/>
          <c:order val="1"/>
          <c:tx>
            <c:strRef>
              <c:f>Лист4!$I$33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Лист4!$I$34:$I$42</c:f>
              <c:numCache>
                <c:formatCode>General</c:formatCode>
                <c:ptCount val="9"/>
                <c:pt idx="0">
                  <c:v>428</c:v>
                </c:pt>
                <c:pt idx="1">
                  <c:v>505</c:v>
                </c:pt>
                <c:pt idx="2">
                  <c:v>457</c:v>
                </c:pt>
                <c:pt idx="3">
                  <c:v>527</c:v>
                </c:pt>
                <c:pt idx="4">
                  <c:v>614</c:v>
                </c:pt>
                <c:pt idx="5">
                  <c:v>679</c:v>
                </c:pt>
                <c:pt idx="6">
                  <c:v>717</c:v>
                </c:pt>
                <c:pt idx="7">
                  <c:v>675</c:v>
                </c:pt>
                <c:pt idx="8">
                  <c:v>565</c:v>
                </c:pt>
              </c:numCache>
            </c:numRef>
          </c:val>
        </c:ser>
        <c:dLbls>
          <c:showLegendKey val="0"/>
          <c:showVal val="0"/>
          <c:showCatName val="0"/>
          <c:showSerName val="0"/>
          <c:showPercent val="0"/>
          <c:showBubbleSize val="0"/>
        </c:dLbls>
        <c:gapWidth val="150"/>
        <c:axId val="70855296"/>
        <c:axId val="72049024"/>
      </c:barChart>
      <c:catAx>
        <c:axId val="70855296"/>
        <c:scaling>
          <c:orientation val="minMax"/>
        </c:scaling>
        <c:delete val="0"/>
        <c:axPos val="b"/>
        <c:numFmt formatCode="General" sourceLinked="1"/>
        <c:majorTickMark val="out"/>
        <c:minorTickMark val="none"/>
        <c:tickLblPos val="nextTo"/>
        <c:txPr>
          <a:bodyPr rot="-2700000"/>
          <a:lstStyle/>
          <a:p>
            <a:pPr>
              <a:defRPr sz="800"/>
            </a:pPr>
            <a:endParaRPr lang="ru-RU"/>
          </a:p>
        </c:txPr>
        <c:crossAx val="72049024"/>
        <c:crosses val="autoZero"/>
        <c:auto val="1"/>
        <c:lblAlgn val="ctr"/>
        <c:lblOffset val="100"/>
        <c:noMultiLvlLbl val="0"/>
      </c:catAx>
      <c:valAx>
        <c:axId val="72049024"/>
        <c:scaling>
          <c:orientation val="minMax"/>
        </c:scaling>
        <c:delete val="0"/>
        <c:axPos val="l"/>
        <c:majorGridlines>
          <c:spPr>
            <a:ln w="6350">
              <a:prstDash val="sysDash"/>
            </a:ln>
          </c:spPr>
        </c:majorGridlines>
        <c:numFmt formatCode="General" sourceLinked="1"/>
        <c:majorTickMark val="out"/>
        <c:minorTickMark val="none"/>
        <c:tickLblPos val="nextTo"/>
        <c:crossAx val="7085529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Лист4!$J$33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Лист4!$J$34:$J$42</c:f>
              <c:numCache>
                <c:formatCode>General</c:formatCode>
                <c:ptCount val="9"/>
                <c:pt idx="0">
                  <c:v>505</c:v>
                </c:pt>
                <c:pt idx="1">
                  <c:v>542</c:v>
                </c:pt>
                <c:pt idx="2">
                  <c:v>383</c:v>
                </c:pt>
                <c:pt idx="3">
                  <c:v>371</c:v>
                </c:pt>
                <c:pt idx="4">
                  <c:v>280</c:v>
                </c:pt>
                <c:pt idx="5">
                  <c:v>228</c:v>
                </c:pt>
                <c:pt idx="6">
                  <c:v>205</c:v>
                </c:pt>
                <c:pt idx="7">
                  <c:v>229</c:v>
                </c:pt>
              </c:numCache>
            </c:numRef>
          </c:val>
        </c:ser>
        <c:ser>
          <c:idx val="1"/>
          <c:order val="1"/>
          <c:tx>
            <c:strRef>
              <c:f>Лист4!$K$33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Лист4!$K$34:$K$42</c:f>
              <c:numCache>
                <c:formatCode>General</c:formatCode>
                <c:ptCount val="9"/>
                <c:pt idx="0">
                  <c:v>106</c:v>
                </c:pt>
                <c:pt idx="1">
                  <c:v>147</c:v>
                </c:pt>
                <c:pt idx="2">
                  <c:v>144</c:v>
                </c:pt>
                <c:pt idx="3">
                  <c:v>156</c:v>
                </c:pt>
                <c:pt idx="4">
                  <c:v>202</c:v>
                </c:pt>
                <c:pt idx="5">
                  <c:v>228</c:v>
                </c:pt>
                <c:pt idx="6">
                  <c:v>234</c:v>
                </c:pt>
                <c:pt idx="7">
                  <c:v>229</c:v>
                </c:pt>
                <c:pt idx="8">
                  <c:v>206</c:v>
                </c:pt>
              </c:numCache>
            </c:numRef>
          </c:val>
        </c:ser>
        <c:dLbls>
          <c:showLegendKey val="0"/>
          <c:showVal val="0"/>
          <c:showCatName val="0"/>
          <c:showSerName val="0"/>
          <c:showPercent val="0"/>
          <c:showBubbleSize val="0"/>
        </c:dLbls>
        <c:gapWidth val="150"/>
        <c:axId val="73684864"/>
        <c:axId val="73686400"/>
      </c:barChart>
      <c:catAx>
        <c:axId val="73684864"/>
        <c:scaling>
          <c:orientation val="minMax"/>
        </c:scaling>
        <c:delete val="0"/>
        <c:axPos val="b"/>
        <c:numFmt formatCode="General" sourceLinked="1"/>
        <c:majorTickMark val="out"/>
        <c:minorTickMark val="none"/>
        <c:tickLblPos val="nextTo"/>
        <c:txPr>
          <a:bodyPr rot="-2700000"/>
          <a:lstStyle/>
          <a:p>
            <a:pPr>
              <a:defRPr sz="800"/>
            </a:pPr>
            <a:endParaRPr lang="ru-RU"/>
          </a:p>
        </c:txPr>
        <c:crossAx val="73686400"/>
        <c:crosses val="autoZero"/>
        <c:auto val="1"/>
        <c:lblAlgn val="ctr"/>
        <c:lblOffset val="100"/>
        <c:noMultiLvlLbl val="0"/>
      </c:catAx>
      <c:valAx>
        <c:axId val="73686400"/>
        <c:scaling>
          <c:orientation val="minMax"/>
        </c:scaling>
        <c:delete val="0"/>
        <c:axPos val="l"/>
        <c:majorGridlines>
          <c:spPr>
            <a:ln w="6350">
              <a:prstDash val="sysDash"/>
            </a:ln>
          </c:spPr>
        </c:majorGridlines>
        <c:numFmt formatCode="General" sourceLinked="1"/>
        <c:majorTickMark val="out"/>
        <c:minorTickMark val="none"/>
        <c:tickLblPos val="nextTo"/>
        <c:crossAx val="7368486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Лист4!$L$33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Лист4!$L$34:$L$42</c:f>
              <c:numCache>
                <c:formatCode>General</c:formatCode>
                <c:ptCount val="9"/>
                <c:pt idx="0">
                  <c:v>636</c:v>
                </c:pt>
                <c:pt idx="1">
                  <c:v>700</c:v>
                </c:pt>
                <c:pt idx="2">
                  <c:v>520</c:v>
                </c:pt>
                <c:pt idx="3">
                  <c:v>525</c:v>
                </c:pt>
                <c:pt idx="4">
                  <c:v>533</c:v>
                </c:pt>
                <c:pt idx="5">
                  <c:v>487</c:v>
                </c:pt>
                <c:pt idx="6">
                  <c:v>451</c:v>
                </c:pt>
                <c:pt idx="7">
                  <c:v>402</c:v>
                </c:pt>
              </c:numCache>
            </c:numRef>
          </c:val>
        </c:ser>
        <c:ser>
          <c:idx val="1"/>
          <c:order val="1"/>
          <c:tx>
            <c:strRef>
              <c:f>Лист4!$M$33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Лист4!$M$34:$M$42</c:f>
              <c:numCache>
                <c:formatCode>General</c:formatCode>
                <c:ptCount val="9"/>
                <c:pt idx="0">
                  <c:v>170</c:v>
                </c:pt>
                <c:pt idx="1">
                  <c:v>244</c:v>
                </c:pt>
                <c:pt idx="2">
                  <c:v>247</c:v>
                </c:pt>
                <c:pt idx="3">
                  <c:v>240</c:v>
                </c:pt>
                <c:pt idx="4">
                  <c:v>259</c:v>
                </c:pt>
                <c:pt idx="5">
                  <c:v>280</c:v>
                </c:pt>
                <c:pt idx="6">
                  <c:v>292</c:v>
                </c:pt>
                <c:pt idx="7">
                  <c:v>291</c:v>
                </c:pt>
                <c:pt idx="8">
                  <c:v>245</c:v>
                </c:pt>
              </c:numCache>
            </c:numRef>
          </c:val>
        </c:ser>
        <c:dLbls>
          <c:showLegendKey val="0"/>
          <c:showVal val="0"/>
          <c:showCatName val="0"/>
          <c:showSerName val="0"/>
          <c:showPercent val="0"/>
          <c:showBubbleSize val="0"/>
        </c:dLbls>
        <c:gapWidth val="150"/>
        <c:axId val="73703808"/>
        <c:axId val="73705344"/>
      </c:barChart>
      <c:catAx>
        <c:axId val="73703808"/>
        <c:scaling>
          <c:orientation val="minMax"/>
        </c:scaling>
        <c:delete val="0"/>
        <c:axPos val="b"/>
        <c:numFmt formatCode="General" sourceLinked="1"/>
        <c:majorTickMark val="out"/>
        <c:minorTickMark val="none"/>
        <c:tickLblPos val="nextTo"/>
        <c:txPr>
          <a:bodyPr rot="-2700000"/>
          <a:lstStyle/>
          <a:p>
            <a:pPr>
              <a:defRPr sz="800"/>
            </a:pPr>
            <a:endParaRPr lang="ru-RU"/>
          </a:p>
        </c:txPr>
        <c:crossAx val="73705344"/>
        <c:crosses val="autoZero"/>
        <c:auto val="1"/>
        <c:lblAlgn val="ctr"/>
        <c:lblOffset val="100"/>
        <c:noMultiLvlLbl val="0"/>
      </c:catAx>
      <c:valAx>
        <c:axId val="73705344"/>
        <c:scaling>
          <c:orientation val="minMax"/>
        </c:scaling>
        <c:delete val="0"/>
        <c:axPos val="l"/>
        <c:majorGridlines>
          <c:spPr>
            <a:ln w="6350">
              <a:prstDash val="sysDash"/>
            </a:ln>
          </c:spPr>
        </c:majorGridlines>
        <c:numFmt formatCode="General" sourceLinked="1"/>
        <c:majorTickMark val="out"/>
        <c:minorTickMark val="none"/>
        <c:tickLblPos val="nextTo"/>
        <c:crossAx val="7370380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Лист4!$N$33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Лист4!$N$34:$N$41</c:f>
              <c:numCache>
                <c:formatCode>General</c:formatCode>
                <c:ptCount val="8"/>
                <c:pt idx="0">
                  <c:v>630</c:v>
                </c:pt>
                <c:pt idx="1">
                  <c:v>637</c:v>
                </c:pt>
                <c:pt idx="2">
                  <c:v>410</c:v>
                </c:pt>
                <c:pt idx="3">
                  <c:v>384</c:v>
                </c:pt>
                <c:pt idx="4">
                  <c:v>275</c:v>
                </c:pt>
                <c:pt idx="5">
                  <c:v>255</c:v>
                </c:pt>
                <c:pt idx="6">
                  <c:v>275</c:v>
                </c:pt>
                <c:pt idx="7">
                  <c:v>228</c:v>
                </c:pt>
              </c:numCache>
            </c:numRef>
          </c:val>
        </c:ser>
        <c:ser>
          <c:idx val="1"/>
          <c:order val="1"/>
          <c:tx>
            <c:strRef>
              <c:f>Лист4!$O$33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Лист4!$O$34:$O$42</c:f>
              <c:numCache>
                <c:formatCode>General</c:formatCode>
                <c:ptCount val="9"/>
                <c:pt idx="0">
                  <c:v>47</c:v>
                </c:pt>
                <c:pt idx="1">
                  <c:v>68</c:v>
                </c:pt>
                <c:pt idx="2">
                  <c:v>69</c:v>
                </c:pt>
                <c:pt idx="3">
                  <c:v>81</c:v>
                </c:pt>
                <c:pt idx="4">
                  <c:v>96</c:v>
                </c:pt>
                <c:pt idx="5">
                  <c:v>117</c:v>
                </c:pt>
                <c:pt idx="6">
                  <c:v>146</c:v>
                </c:pt>
                <c:pt idx="7">
                  <c:v>165</c:v>
                </c:pt>
                <c:pt idx="8">
                  <c:v>143</c:v>
                </c:pt>
              </c:numCache>
            </c:numRef>
          </c:val>
        </c:ser>
        <c:dLbls>
          <c:showLegendKey val="0"/>
          <c:showVal val="0"/>
          <c:showCatName val="0"/>
          <c:showSerName val="0"/>
          <c:showPercent val="0"/>
          <c:showBubbleSize val="0"/>
        </c:dLbls>
        <c:gapWidth val="150"/>
        <c:axId val="76089600"/>
        <c:axId val="101306368"/>
      </c:barChart>
      <c:catAx>
        <c:axId val="76089600"/>
        <c:scaling>
          <c:orientation val="minMax"/>
        </c:scaling>
        <c:delete val="0"/>
        <c:axPos val="b"/>
        <c:numFmt formatCode="General" sourceLinked="1"/>
        <c:majorTickMark val="out"/>
        <c:minorTickMark val="none"/>
        <c:tickLblPos val="nextTo"/>
        <c:txPr>
          <a:bodyPr rot="-2700000"/>
          <a:lstStyle/>
          <a:p>
            <a:pPr>
              <a:defRPr sz="800"/>
            </a:pPr>
            <a:endParaRPr lang="ru-RU"/>
          </a:p>
        </c:txPr>
        <c:crossAx val="101306368"/>
        <c:crosses val="autoZero"/>
        <c:auto val="1"/>
        <c:lblAlgn val="ctr"/>
        <c:lblOffset val="100"/>
        <c:noMultiLvlLbl val="0"/>
      </c:catAx>
      <c:valAx>
        <c:axId val="101306368"/>
        <c:scaling>
          <c:orientation val="minMax"/>
        </c:scaling>
        <c:delete val="0"/>
        <c:axPos val="l"/>
        <c:majorGridlines>
          <c:spPr>
            <a:ln w="6350">
              <a:prstDash val="sysDash"/>
            </a:ln>
          </c:spPr>
        </c:majorGridlines>
        <c:numFmt formatCode="General" sourceLinked="1"/>
        <c:majorTickMark val="out"/>
        <c:minorTickMark val="none"/>
        <c:tickLblPos val="nextTo"/>
        <c:crossAx val="7608960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042041900451"/>
          <c:y val="0.14968811701603352"/>
          <c:w val="0.81633740393229293"/>
          <c:h val="0.53750607675813633"/>
        </c:manualLayout>
      </c:layout>
      <c:barChart>
        <c:barDir val="col"/>
        <c:grouping val="clustered"/>
        <c:varyColors val="0"/>
        <c:ser>
          <c:idx val="0"/>
          <c:order val="0"/>
          <c:tx>
            <c:strRef>
              <c:f>Лист4!$P$33</c:f>
              <c:strCache>
                <c:ptCount val="1"/>
                <c:pt idx="0">
                  <c:v>средняя сумма перевода</c:v>
                </c:pt>
              </c:strCache>
            </c:strRef>
          </c:tx>
          <c:spPr>
            <a:solidFill>
              <a:schemeClr val="tx1"/>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Лист4!$P$34:$P$41</c:f>
              <c:numCache>
                <c:formatCode>General</c:formatCode>
                <c:ptCount val="8"/>
                <c:pt idx="0">
                  <c:v>603</c:v>
                </c:pt>
                <c:pt idx="1">
                  <c:v>718</c:v>
                </c:pt>
                <c:pt idx="2">
                  <c:v>500</c:v>
                </c:pt>
                <c:pt idx="3">
                  <c:v>576</c:v>
                </c:pt>
                <c:pt idx="4">
                  <c:v>582</c:v>
                </c:pt>
                <c:pt idx="5">
                  <c:v>575</c:v>
                </c:pt>
                <c:pt idx="6">
                  <c:v>523</c:v>
                </c:pt>
                <c:pt idx="7">
                  <c:v>356</c:v>
                </c:pt>
              </c:numCache>
            </c:numRef>
          </c:val>
        </c:ser>
        <c:ser>
          <c:idx val="1"/>
          <c:order val="1"/>
          <c:tx>
            <c:strRef>
              <c:f>Лист4!$Q$33</c:f>
              <c:strCache>
                <c:ptCount val="1"/>
                <c:pt idx="0">
                  <c:v>зарплата</c:v>
                </c:pt>
              </c:strCache>
            </c:strRef>
          </c:tx>
          <c:spPr>
            <a:solidFill>
              <a:schemeClr val="bg1">
                <a:lumMod val="65000"/>
              </a:schemeClr>
            </a:solidFill>
          </c:spPr>
          <c:invertIfNegative val="0"/>
          <c:cat>
            <c:numRef>
              <c:f>Лист4!$A$34:$A$42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Лист4!$Q$34:$Q$42</c:f>
              <c:numCache>
                <c:formatCode>General</c:formatCode>
                <c:ptCount val="9"/>
                <c:pt idx="0">
                  <c:v>268</c:v>
                </c:pt>
                <c:pt idx="1">
                  <c:v>343</c:v>
                </c:pt>
                <c:pt idx="2">
                  <c:v>245</c:v>
                </c:pt>
                <c:pt idx="3">
                  <c:v>284</c:v>
                </c:pt>
                <c:pt idx="4">
                  <c:v>332</c:v>
                </c:pt>
                <c:pt idx="5">
                  <c:v>381</c:v>
                </c:pt>
                <c:pt idx="6">
                  <c:v>411</c:v>
                </c:pt>
                <c:pt idx="7">
                  <c:v>293</c:v>
                </c:pt>
                <c:pt idx="8">
                  <c:v>193</c:v>
                </c:pt>
              </c:numCache>
            </c:numRef>
          </c:val>
        </c:ser>
        <c:dLbls>
          <c:showLegendKey val="0"/>
          <c:showVal val="0"/>
          <c:showCatName val="0"/>
          <c:showSerName val="0"/>
          <c:showPercent val="0"/>
          <c:showBubbleSize val="0"/>
        </c:dLbls>
        <c:gapWidth val="150"/>
        <c:axId val="109839104"/>
        <c:axId val="109840640"/>
      </c:barChart>
      <c:catAx>
        <c:axId val="109839104"/>
        <c:scaling>
          <c:orientation val="minMax"/>
        </c:scaling>
        <c:delete val="0"/>
        <c:axPos val="b"/>
        <c:numFmt formatCode="General" sourceLinked="1"/>
        <c:majorTickMark val="out"/>
        <c:minorTickMark val="none"/>
        <c:tickLblPos val="nextTo"/>
        <c:txPr>
          <a:bodyPr rot="-2700000"/>
          <a:lstStyle/>
          <a:p>
            <a:pPr>
              <a:defRPr sz="800"/>
            </a:pPr>
            <a:endParaRPr lang="ru-RU"/>
          </a:p>
        </c:txPr>
        <c:crossAx val="109840640"/>
        <c:crosses val="autoZero"/>
        <c:auto val="1"/>
        <c:lblAlgn val="ctr"/>
        <c:lblOffset val="100"/>
        <c:noMultiLvlLbl val="0"/>
      </c:catAx>
      <c:valAx>
        <c:axId val="109840640"/>
        <c:scaling>
          <c:orientation val="minMax"/>
        </c:scaling>
        <c:delete val="0"/>
        <c:axPos val="l"/>
        <c:majorGridlines>
          <c:spPr>
            <a:ln w="6350">
              <a:prstDash val="sysDash"/>
            </a:ln>
          </c:spPr>
        </c:majorGridlines>
        <c:numFmt formatCode="General" sourceLinked="1"/>
        <c:majorTickMark val="out"/>
        <c:minorTickMark val="none"/>
        <c:tickLblPos val="nextTo"/>
        <c:crossAx val="10983910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0.00369</cdr:x>
      <cdr:y>0.00861</cdr:y>
    </cdr:from>
    <cdr:to>
      <cdr:x>0.11273</cdr:x>
      <cdr:y>0.08966</cdr:y>
    </cdr:to>
    <cdr:sp macro="" textlink="">
      <cdr:nvSpPr>
        <cdr:cNvPr id="2" name="TextBox 1"/>
        <cdr:cNvSpPr txBox="1"/>
      </cdr:nvSpPr>
      <cdr:spPr>
        <a:xfrm xmlns:a="http://schemas.openxmlformats.org/drawingml/2006/main">
          <a:off x="20363" y="25066"/>
          <a:ext cx="601346" cy="2358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млн.дол.</a:t>
          </a:r>
        </a:p>
      </cdr:txBody>
    </cdr:sp>
  </cdr:relSizeAnchor>
  <cdr:relSizeAnchor xmlns:cdr="http://schemas.openxmlformats.org/drawingml/2006/chartDrawing">
    <cdr:from>
      <cdr:x>0.09182</cdr:x>
      <cdr:y>0.59479</cdr:y>
    </cdr:from>
    <cdr:to>
      <cdr:x>0.17504</cdr:x>
      <cdr:y>0.65847</cdr:y>
    </cdr:to>
    <cdr:sp macro="" textlink="">
      <cdr:nvSpPr>
        <cdr:cNvPr id="3" name="TextBox 2"/>
        <cdr:cNvSpPr txBox="1"/>
      </cdr:nvSpPr>
      <cdr:spPr>
        <a:xfrm xmlns:a="http://schemas.openxmlformats.org/drawingml/2006/main">
          <a:off x="609601" y="1957387"/>
          <a:ext cx="55245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50" i="1">
              <a:latin typeface="Times New Roman" panose="02020603050405020304" pitchFamily="18" charset="0"/>
              <a:cs typeface="Times New Roman" panose="02020603050405020304" pitchFamily="18" charset="0"/>
            </a:rPr>
            <a:t>5 189,8</a:t>
          </a:r>
        </a:p>
      </cdr:txBody>
    </cdr:sp>
  </cdr:relSizeAnchor>
  <cdr:relSizeAnchor xmlns:cdr="http://schemas.openxmlformats.org/drawingml/2006/chartDrawing">
    <cdr:from>
      <cdr:x>0.18412</cdr:x>
      <cdr:y>0.47564</cdr:y>
    </cdr:from>
    <cdr:to>
      <cdr:x>0.26734</cdr:x>
      <cdr:y>0.53931</cdr:y>
    </cdr:to>
    <cdr:sp macro="" textlink="">
      <cdr:nvSpPr>
        <cdr:cNvPr id="4" name="TextBox 1"/>
        <cdr:cNvSpPr txBox="1"/>
      </cdr:nvSpPr>
      <cdr:spPr>
        <a:xfrm xmlns:a="http://schemas.openxmlformats.org/drawingml/2006/main">
          <a:off x="1222375" y="1565275"/>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9 443,8</a:t>
          </a:r>
        </a:p>
      </cdr:txBody>
    </cdr:sp>
  </cdr:relSizeAnchor>
  <cdr:relSizeAnchor xmlns:cdr="http://schemas.openxmlformats.org/drawingml/2006/chartDrawing">
    <cdr:from>
      <cdr:x>0.27451</cdr:x>
      <cdr:y>0.33382</cdr:y>
    </cdr:from>
    <cdr:to>
      <cdr:x>0.35772</cdr:x>
      <cdr:y>0.39749</cdr:y>
    </cdr:to>
    <cdr:sp macro="" textlink="">
      <cdr:nvSpPr>
        <cdr:cNvPr id="5" name="TextBox 1"/>
        <cdr:cNvSpPr txBox="1"/>
      </cdr:nvSpPr>
      <cdr:spPr>
        <a:xfrm xmlns:a="http://schemas.openxmlformats.org/drawingml/2006/main">
          <a:off x="1822450" y="1098550"/>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13 706,6</a:t>
          </a:r>
        </a:p>
      </cdr:txBody>
    </cdr:sp>
  </cdr:relSizeAnchor>
  <cdr:relSizeAnchor xmlns:cdr="http://schemas.openxmlformats.org/drawingml/2006/chartDrawing">
    <cdr:from>
      <cdr:x>0.3649</cdr:x>
      <cdr:y>0.45248</cdr:y>
    </cdr:from>
    <cdr:to>
      <cdr:x>0.44811</cdr:x>
      <cdr:y>0.51616</cdr:y>
    </cdr:to>
    <cdr:sp macro="" textlink="">
      <cdr:nvSpPr>
        <cdr:cNvPr id="6" name="TextBox 1"/>
        <cdr:cNvSpPr txBox="1"/>
      </cdr:nvSpPr>
      <cdr:spPr>
        <a:xfrm xmlns:a="http://schemas.openxmlformats.org/drawingml/2006/main">
          <a:off x="2422525" y="1489075"/>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9 966,7</a:t>
          </a:r>
        </a:p>
      </cdr:txBody>
    </cdr:sp>
  </cdr:relSizeAnchor>
  <cdr:relSizeAnchor xmlns:cdr="http://schemas.openxmlformats.org/drawingml/2006/chartDrawing">
    <cdr:from>
      <cdr:x>0.45098</cdr:x>
      <cdr:y>0.35118</cdr:y>
    </cdr:from>
    <cdr:to>
      <cdr:x>0.53419</cdr:x>
      <cdr:y>0.41486</cdr:y>
    </cdr:to>
    <cdr:sp macro="" textlink="">
      <cdr:nvSpPr>
        <cdr:cNvPr id="7" name="TextBox 1"/>
        <cdr:cNvSpPr txBox="1"/>
      </cdr:nvSpPr>
      <cdr:spPr>
        <a:xfrm xmlns:a="http://schemas.openxmlformats.org/drawingml/2006/main">
          <a:off x="2994025" y="1155700"/>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12 834,6</a:t>
          </a:r>
        </a:p>
      </cdr:txBody>
    </cdr:sp>
  </cdr:relSizeAnchor>
  <cdr:relSizeAnchor xmlns:cdr="http://schemas.openxmlformats.org/drawingml/2006/chartDrawing">
    <cdr:from>
      <cdr:x>0.5385</cdr:x>
      <cdr:y>0.22962</cdr:y>
    </cdr:from>
    <cdr:to>
      <cdr:x>0.62171</cdr:x>
      <cdr:y>0.29329</cdr:y>
    </cdr:to>
    <cdr:sp macro="" textlink="">
      <cdr:nvSpPr>
        <cdr:cNvPr id="8" name="TextBox 1"/>
        <cdr:cNvSpPr txBox="1"/>
      </cdr:nvSpPr>
      <cdr:spPr>
        <a:xfrm xmlns:a="http://schemas.openxmlformats.org/drawingml/2006/main">
          <a:off x="3575050" y="755650"/>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17 533,1</a:t>
          </a:r>
        </a:p>
      </cdr:txBody>
    </cdr:sp>
  </cdr:relSizeAnchor>
  <cdr:relSizeAnchor xmlns:cdr="http://schemas.openxmlformats.org/drawingml/2006/chartDrawing">
    <cdr:from>
      <cdr:x>0.63176</cdr:x>
      <cdr:y>0.13411</cdr:y>
    </cdr:from>
    <cdr:to>
      <cdr:x>0.71497</cdr:x>
      <cdr:y>0.19778</cdr:y>
    </cdr:to>
    <cdr:sp macro="" textlink="">
      <cdr:nvSpPr>
        <cdr:cNvPr id="9" name="TextBox 1"/>
        <cdr:cNvSpPr txBox="1"/>
      </cdr:nvSpPr>
      <cdr:spPr>
        <a:xfrm xmlns:a="http://schemas.openxmlformats.org/drawingml/2006/main">
          <a:off x="4194175" y="441325"/>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20 533,1</a:t>
          </a:r>
        </a:p>
      </cdr:txBody>
    </cdr:sp>
  </cdr:relSizeAnchor>
  <cdr:relSizeAnchor xmlns:cdr="http://schemas.openxmlformats.org/drawingml/2006/chartDrawing">
    <cdr:from>
      <cdr:x>0.71497</cdr:x>
      <cdr:y>0.05017</cdr:y>
    </cdr:from>
    <cdr:to>
      <cdr:x>0.79818</cdr:x>
      <cdr:y>0.11384</cdr:y>
    </cdr:to>
    <cdr:sp macro="" textlink="">
      <cdr:nvSpPr>
        <cdr:cNvPr id="10" name="TextBox 1"/>
        <cdr:cNvSpPr txBox="1"/>
      </cdr:nvSpPr>
      <cdr:spPr>
        <a:xfrm xmlns:a="http://schemas.openxmlformats.org/drawingml/2006/main">
          <a:off x="4746625" y="165100"/>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23 889,0</a:t>
          </a:r>
        </a:p>
      </cdr:txBody>
    </cdr:sp>
  </cdr:relSizeAnchor>
  <cdr:relSizeAnchor xmlns:cdr="http://schemas.openxmlformats.org/drawingml/2006/chartDrawing">
    <cdr:from>
      <cdr:x>0.80105</cdr:x>
      <cdr:y>0.13411</cdr:y>
    </cdr:from>
    <cdr:to>
      <cdr:x>0.88427</cdr:x>
      <cdr:y>0.19778</cdr:y>
    </cdr:to>
    <cdr:sp macro="" textlink="">
      <cdr:nvSpPr>
        <cdr:cNvPr id="11" name="TextBox 1"/>
        <cdr:cNvSpPr txBox="1"/>
      </cdr:nvSpPr>
      <cdr:spPr>
        <a:xfrm xmlns:a="http://schemas.openxmlformats.org/drawingml/2006/main">
          <a:off x="5318125" y="441325"/>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20 856,0</a:t>
          </a:r>
        </a:p>
      </cdr:txBody>
    </cdr:sp>
  </cdr:relSizeAnchor>
  <cdr:relSizeAnchor xmlns:cdr="http://schemas.openxmlformats.org/drawingml/2006/chartDrawing">
    <cdr:from>
      <cdr:x>0.89718</cdr:x>
      <cdr:y>0.44959</cdr:y>
    </cdr:from>
    <cdr:to>
      <cdr:x>0.98039</cdr:x>
      <cdr:y>0.51327</cdr:y>
    </cdr:to>
    <cdr:sp macro="" textlink="">
      <cdr:nvSpPr>
        <cdr:cNvPr id="12" name="TextBox 1"/>
        <cdr:cNvSpPr txBox="1"/>
      </cdr:nvSpPr>
      <cdr:spPr>
        <a:xfrm xmlns:a="http://schemas.openxmlformats.org/drawingml/2006/main">
          <a:off x="5956300" y="1479550"/>
          <a:ext cx="55245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i="1">
              <a:latin typeface="Times New Roman" panose="02020603050405020304" pitchFamily="18" charset="0"/>
              <a:cs typeface="Times New Roman" panose="02020603050405020304" pitchFamily="18" charset="0"/>
            </a:rPr>
            <a:t>9 719,0</a:t>
          </a:r>
        </a:p>
      </cdr:txBody>
    </cdr:sp>
  </cdr:relSizeAnchor>
</c:userShapes>
</file>

<file path=word/drawings/drawing2.xml><?xml version="1.0" encoding="utf-8"?>
<c:userShapes xmlns:c="http://schemas.openxmlformats.org/drawingml/2006/chart">
  <cdr:relSizeAnchor xmlns:cdr="http://schemas.openxmlformats.org/drawingml/2006/chartDrawing">
    <cdr:from>
      <cdr:x>0.3024</cdr:x>
      <cdr:y>0.01871</cdr:y>
    </cdr:from>
    <cdr:to>
      <cdr:x>0.61377</cdr:x>
      <cdr:y>0.14345</cdr:y>
    </cdr:to>
    <cdr:sp macro="" textlink="">
      <cdr:nvSpPr>
        <cdr:cNvPr id="2" name="TextBox 1"/>
        <cdr:cNvSpPr txBox="1"/>
      </cdr:nvSpPr>
      <cdr:spPr>
        <a:xfrm xmlns:a="http://schemas.openxmlformats.org/drawingml/2006/main">
          <a:off x="962025" y="42863"/>
          <a:ext cx="9906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Азербайджан</a:t>
          </a:r>
        </a:p>
      </cdr:txBody>
    </cdr:sp>
  </cdr:relSizeAnchor>
</c:userShapes>
</file>

<file path=word/drawings/drawing3.xml><?xml version="1.0" encoding="utf-8"?>
<c:userShapes xmlns:c="http://schemas.openxmlformats.org/drawingml/2006/chart">
  <cdr:relSizeAnchor xmlns:cdr="http://schemas.openxmlformats.org/drawingml/2006/chartDrawing">
    <cdr:from>
      <cdr:x>0.41351</cdr:x>
      <cdr:y>0.02388</cdr:y>
    </cdr:from>
    <cdr:to>
      <cdr:x>0.61953</cdr:x>
      <cdr:y>0.13954</cdr:y>
    </cdr:to>
    <cdr:sp macro="" textlink="">
      <cdr:nvSpPr>
        <cdr:cNvPr id="2" name="TextBox 1"/>
        <cdr:cNvSpPr txBox="1"/>
      </cdr:nvSpPr>
      <cdr:spPr>
        <a:xfrm xmlns:a="http://schemas.openxmlformats.org/drawingml/2006/main">
          <a:off x="1169792" y="44010"/>
          <a:ext cx="582808" cy="213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Армения</a:t>
          </a:r>
        </a:p>
      </cdr:txBody>
    </cdr:sp>
  </cdr:relSizeAnchor>
</c:userShapes>
</file>

<file path=word/drawings/drawing4.xml><?xml version="1.0" encoding="utf-8"?>
<c:userShapes xmlns:c="http://schemas.openxmlformats.org/drawingml/2006/chart">
  <cdr:relSizeAnchor xmlns:cdr="http://schemas.openxmlformats.org/drawingml/2006/chartDrawing">
    <cdr:from>
      <cdr:x>0.41351</cdr:x>
      <cdr:y>0.02388</cdr:y>
    </cdr:from>
    <cdr:to>
      <cdr:x>0.61953</cdr:x>
      <cdr:y>0.13954</cdr:y>
    </cdr:to>
    <cdr:sp macro="" textlink="">
      <cdr:nvSpPr>
        <cdr:cNvPr id="2" name="TextBox 1"/>
        <cdr:cNvSpPr txBox="1"/>
      </cdr:nvSpPr>
      <cdr:spPr>
        <a:xfrm xmlns:a="http://schemas.openxmlformats.org/drawingml/2006/main">
          <a:off x="1169792" y="44010"/>
          <a:ext cx="582808" cy="213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Беларусь</a:t>
          </a:r>
        </a:p>
      </cdr:txBody>
    </cdr:sp>
  </cdr:relSizeAnchor>
</c:userShapes>
</file>

<file path=word/drawings/drawing5.xml><?xml version="1.0" encoding="utf-8"?>
<c:userShapes xmlns:c="http://schemas.openxmlformats.org/drawingml/2006/chart">
  <cdr:relSizeAnchor xmlns:cdr="http://schemas.openxmlformats.org/drawingml/2006/chartDrawing">
    <cdr:from>
      <cdr:x>0.39668</cdr:x>
      <cdr:y>0.02388</cdr:y>
    </cdr:from>
    <cdr:to>
      <cdr:x>0.63973</cdr:x>
      <cdr:y>0.1292</cdr:y>
    </cdr:to>
    <cdr:sp macro="" textlink="">
      <cdr:nvSpPr>
        <cdr:cNvPr id="2" name="TextBox 1"/>
        <cdr:cNvSpPr txBox="1"/>
      </cdr:nvSpPr>
      <cdr:spPr>
        <a:xfrm xmlns:a="http://schemas.openxmlformats.org/drawingml/2006/main">
          <a:off x="1122164" y="44014"/>
          <a:ext cx="687586" cy="194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Казахстан</a:t>
          </a:r>
        </a:p>
      </cdr:txBody>
    </cdr:sp>
  </cdr:relSizeAnchor>
</c:userShapes>
</file>

<file path=word/drawings/drawing6.xml><?xml version="1.0" encoding="utf-8"?>
<c:userShapes xmlns:c="http://schemas.openxmlformats.org/drawingml/2006/chart">
  <cdr:relSizeAnchor xmlns:cdr="http://schemas.openxmlformats.org/drawingml/2006/chartDrawing">
    <cdr:from>
      <cdr:x>0.39331</cdr:x>
      <cdr:y>0.03938</cdr:y>
    </cdr:from>
    <cdr:to>
      <cdr:x>0.66667</cdr:x>
      <cdr:y>0.1447</cdr:y>
    </cdr:to>
    <cdr:sp macro="" textlink="">
      <cdr:nvSpPr>
        <cdr:cNvPr id="2" name="TextBox 1"/>
        <cdr:cNvSpPr txBox="1"/>
      </cdr:nvSpPr>
      <cdr:spPr>
        <a:xfrm xmlns:a="http://schemas.openxmlformats.org/drawingml/2006/main">
          <a:off x="1112639" y="72589"/>
          <a:ext cx="773311" cy="1941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Кыргызстан</a:t>
          </a:r>
        </a:p>
      </cdr:txBody>
    </cdr:sp>
  </cdr:relSizeAnchor>
</c:userShapes>
</file>

<file path=word/drawings/drawing7.xml><?xml version="1.0" encoding="utf-8"?>
<c:userShapes xmlns:c="http://schemas.openxmlformats.org/drawingml/2006/chart">
  <cdr:relSizeAnchor xmlns:cdr="http://schemas.openxmlformats.org/drawingml/2006/chartDrawing">
    <cdr:from>
      <cdr:x>0.41351</cdr:x>
      <cdr:y>0.02388</cdr:y>
    </cdr:from>
    <cdr:to>
      <cdr:x>0.61953</cdr:x>
      <cdr:y>0.13954</cdr:y>
    </cdr:to>
    <cdr:sp macro="" textlink="">
      <cdr:nvSpPr>
        <cdr:cNvPr id="2" name="TextBox 1"/>
        <cdr:cNvSpPr txBox="1"/>
      </cdr:nvSpPr>
      <cdr:spPr>
        <a:xfrm xmlns:a="http://schemas.openxmlformats.org/drawingml/2006/main">
          <a:off x="1169792" y="44010"/>
          <a:ext cx="582808" cy="213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Молдова</a:t>
          </a:r>
        </a:p>
      </cdr:txBody>
    </cdr:sp>
  </cdr:relSizeAnchor>
</c:userShapes>
</file>

<file path=word/drawings/drawing8.xml><?xml version="1.0" encoding="utf-8"?>
<c:userShapes xmlns:c="http://schemas.openxmlformats.org/drawingml/2006/chart">
  <cdr:relSizeAnchor xmlns:cdr="http://schemas.openxmlformats.org/drawingml/2006/chartDrawing">
    <cdr:from>
      <cdr:x>0.41351</cdr:x>
      <cdr:y>0.02388</cdr:y>
    </cdr:from>
    <cdr:to>
      <cdr:x>0.72391</cdr:x>
      <cdr:y>0.13437</cdr:y>
    </cdr:to>
    <cdr:sp macro="" textlink="">
      <cdr:nvSpPr>
        <cdr:cNvPr id="2" name="TextBox 1"/>
        <cdr:cNvSpPr txBox="1"/>
      </cdr:nvSpPr>
      <cdr:spPr>
        <a:xfrm xmlns:a="http://schemas.openxmlformats.org/drawingml/2006/main">
          <a:off x="1169789" y="44013"/>
          <a:ext cx="878086" cy="2036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Таджикистан</a:t>
          </a:r>
        </a:p>
      </cdr:txBody>
    </cdr:sp>
  </cdr:relSizeAnchor>
</c:userShapes>
</file>

<file path=word/drawings/drawing9.xml><?xml version="1.0" encoding="utf-8"?>
<c:userShapes xmlns:c="http://schemas.openxmlformats.org/drawingml/2006/chart">
  <cdr:relSizeAnchor xmlns:cdr="http://schemas.openxmlformats.org/drawingml/2006/chartDrawing">
    <cdr:from>
      <cdr:x>0.41351</cdr:x>
      <cdr:y>0.02388</cdr:y>
    </cdr:from>
    <cdr:to>
      <cdr:x>0.61953</cdr:x>
      <cdr:y>0.13954</cdr:y>
    </cdr:to>
    <cdr:sp macro="" textlink="">
      <cdr:nvSpPr>
        <cdr:cNvPr id="2" name="TextBox 1"/>
        <cdr:cNvSpPr txBox="1"/>
      </cdr:nvSpPr>
      <cdr:spPr>
        <a:xfrm xmlns:a="http://schemas.openxmlformats.org/drawingml/2006/main">
          <a:off x="1169792" y="44010"/>
          <a:ext cx="582808" cy="213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anose="02020603050405020304" pitchFamily="18" charset="0"/>
              <a:cs typeface="Times New Roman" panose="02020603050405020304" pitchFamily="18" charset="0"/>
            </a:rPr>
            <a:t>Украина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8AAF-70CE-4A5C-9592-6BE7459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Наталья Д. Исаева</cp:lastModifiedBy>
  <cp:revision>2</cp:revision>
  <dcterms:created xsi:type="dcterms:W3CDTF">2016-06-10T07:41:00Z</dcterms:created>
  <dcterms:modified xsi:type="dcterms:W3CDTF">2016-06-10T07:41:00Z</dcterms:modified>
</cp:coreProperties>
</file>