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76" w:rsidRDefault="003D7C76" w:rsidP="003D7C76">
      <w:pPr>
        <w:spacing w:after="160" w:line="240" w:lineRule="auto"/>
        <w:ind w:firstLine="0"/>
        <w:jc w:val="left"/>
      </w:pPr>
      <w:bookmarkStart w:id="0" w:name="_GoBack"/>
      <w:bookmarkEnd w:id="0"/>
      <w:r>
        <w:t>Рубрика</w:t>
      </w:r>
      <w:r w:rsidRPr="00AD2FAB">
        <w:t>:</w:t>
      </w:r>
      <w:r>
        <w:t xml:space="preserve"> менеджмент</w:t>
      </w:r>
    </w:p>
    <w:p w:rsidR="003D7C76" w:rsidRDefault="003D7C76" w:rsidP="003D7C76">
      <w:pPr>
        <w:spacing w:after="160" w:line="240" w:lineRule="auto"/>
        <w:ind w:firstLine="0"/>
        <w:jc w:val="left"/>
      </w:pPr>
      <w:r>
        <w:t>УДК 354</w:t>
      </w:r>
    </w:p>
    <w:p w:rsidR="003D7C76" w:rsidRPr="003D7C76" w:rsidRDefault="00821D1E" w:rsidP="00857A48">
      <w:pPr>
        <w:ind w:firstLine="0"/>
        <w:jc w:val="right"/>
        <w:rPr>
          <w:b/>
        </w:rPr>
      </w:pPr>
      <w:r>
        <w:rPr>
          <w:b/>
        </w:rPr>
        <w:t>Куцый Н.</w:t>
      </w:r>
      <w:r w:rsidR="003D7C76" w:rsidRPr="003D7C76">
        <w:rPr>
          <w:b/>
        </w:rPr>
        <w:t>В</w:t>
      </w:r>
      <w:r>
        <w:rPr>
          <w:b/>
        </w:rPr>
        <w:t>.</w:t>
      </w:r>
    </w:p>
    <w:p w:rsidR="000C3679" w:rsidRDefault="00821D1E" w:rsidP="00893145">
      <w:pPr>
        <w:ind w:firstLine="0"/>
        <w:jc w:val="center"/>
        <w:rPr>
          <w:b/>
        </w:rPr>
      </w:pPr>
      <w:r>
        <w:rPr>
          <w:b/>
        </w:rPr>
        <w:t>ПРОЕКТНЫЙ ОФИС КАК ИНСТРУМЕНТ ПОВЫШЕНИЯ ЭФФЕКТИВНОСТИ ГОСУДАРСТВЕННОГО И МУНИЦИПАЛЬНОГО УПРАВЛЕНИЯ РЕГИОНА</w:t>
      </w:r>
    </w:p>
    <w:p w:rsidR="00841FDC" w:rsidRPr="00EA48FC" w:rsidRDefault="00841FDC" w:rsidP="00841FDC">
      <w:pPr>
        <w:spacing w:line="240" w:lineRule="auto"/>
        <w:ind w:firstLine="0"/>
        <w:jc w:val="center"/>
        <w:rPr>
          <w:b/>
        </w:rPr>
      </w:pPr>
    </w:p>
    <w:p w:rsidR="00EA48FC" w:rsidRPr="00047CBB" w:rsidRDefault="00EA48FC" w:rsidP="000A64FE">
      <w:pPr>
        <w:rPr>
          <w:i/>
          <w:szCs w:val="24"/>
        </w:rPr>
      </w:pPr>
      <w:r w:rsidRPr="005C5710">
        <w:rPr>
          <w:b/>
          <w:i/>
          <w:szCs w:val="24"/>
        </w:rPr>
        <w:t>Аннотация:</w:t>
      </w:r>
      <w:r w:rsidRPr="00047CBB">
        <w:rPr>
          <w:i/>
          <w:szCs w:val="24"/>
        </w:rPr>
        <w:t xml:space="preserve"> в статье рассматривается</w:t>
      </w:r>
      <w:r w:rsidR="00CF0EC8">
        <w:rPr>
          <w:i/>
          <w:szCs w:val="24"/>
        </w:rPr>
        <w:t xml:space="preserve"> такой орган государственного управления, как проектный офис и анализируется развитие проектных офисов в России</w:t>
      </w:r>
      <w:r w:rsidRPr="00047CBB">
        <w:rPr>
          <w:i/>
          <w:szCs w:val="24"/>
        </w:rPr>
        <w:t xml:space="preserve">. </w:t>
      </w:r>
      <w:r w:rsidR="00612F64">
        <w:rPr>
          <w:i/>
          <w:szCs w:val="24"/>
        </w:rPr>
        <w:t>Целесообразность создания проектных офисов доказывается на примере Белгородского проектного офиса</w:t>
      </w:r>
      <w:r>
        <w:rPr>
          <w:i/>
          <w:szCs w:val="24"/>
        </w:rPr>
        <w:t xml:space="preserve">. </w:t>
      </w:r>
    </w:p>
    <w:p w:rsidR="00EA48FC" w:rsidRDefault="00EA48FC" w:rsidP="000A64FE">
      <w:pPr>
        <w:rPr>
          <w:i/>
          <w:szCs w:val="24"/>
        </w:rPr>
      </w:pPr>
      <w:r w:rsidRPr="005C5710">
        <w:rPr>
          <w:b/>
          <w:i/>
          <w:szCs w:val="24"/>
        </w:rPr>
        <w:t>Ключевые слова:</w:t>
      </w:r>
      <w:r>
        <w:rPr>
          <w:i/>
          <w:szCs w:val="24"/>
        </w:rPr>
        <w:t xml:space="preserve"> </w:t>
      </w:r>
      <w:r w:rsidR="00612F64">
        <w:rPr>
          <w:i/>
          <w:szCs w:val="24"/>
        </w:rPr>
        <w:t>проектная деятельность</w:t>
      </w:r>
      <w:r w:rsidR="00612F64" w:rsidRPr="00612F64">
        <w:rPr>
          <w:i/>
          <w:szCs w:val="24"/>
        </w:rPr>
        <w:t xml:space="preserve">; </w:t>
      </w:r>
      <w:r w:rsidR="00612F64">
        <w:rPr>
          <w:i/>
          <w:szCs w:val="24"/>
        </w:rPr>
        <w:t>проектный офис</w:t>
      </w:r>
      <w:r w:rsidR="00612F64" w:rsidRPr="00612F64">
        <w:rPr>
          <w:i/>
          <w:szCs w:val="24"/>
        </w:rPr>
        <w:t>;</w:t>
      </w:r>
      <w:r w:rsidR="00612F64">
        <w:rPr>
          <w:i/>
          <w:szCs w:val="24"/>
        </w:rPr>
        <w:t xml:space="preserve"> государственное управление</w:t>
      </w:r>
      <w:r w:rsidR="00612F64" w:rsidRPr="00612F64">
        <w:rPr>
          <w:i/>
          <w:szCs w:val="24"/>
        </w:rPr>
        <w:t>;</w:t>
      </w:r>
      <w:r w:rsidR="00612F64">
        <w:rPr>
          <w:i/>
          <w:szCs w:val="24"/>
        </w:rPr>
        <w:t xml:space="preserve"> Белгородская область</w:t>
      </w:r>
      <w:r>
        <w:rPr>
          <w:i/>
          <w:szCs w:val="24"/>
        </w:rPr>
        <w:t>.</w:t>
      </w:r>
    </w:p>
    <w:p w:rsidR="00612F64" w:rsidRPr="00047CBB" w:rsidRDefault="00612F64" w:rsidP="00EA48FC">
      <w:pPr>
        <w:spacing w:line="240" w:lineRule="auto"/>
        <w:rPr>
          <w:i/>
          <w:szCs w:val="24"/>
        </w:rPr>
      </w:pPr>
    </w:p>
    <w:p w:rsidR="00750550" w:rsidRDefault="00750550" w:rsidP="00F84EFC">
      <w:r>
        <w:t>В настоящее время, сложилось множество подходов к управленческой деятельности в сфере государственного управления. Среди основных подходов выделяют</w:t>
      </w:r>
      <w:r w:rsidRPr="00FB6D7B">
        <w:t>:</w:t>
      </w:r>
      <w:r>
        <w:t xml:space="preserve"> </w:t>
      </w:r>
      <w:proofErr w:type="spellStart"/>
      <w:r>
        <w:t>програмно</w:t>
      </w:r>
      <w:proofErr w:type="spellEnd"/>
      <w:r>
        <w:t>-целевой, системный, функциональный, процессный, ресурсный, маркетинговый и т.д. [1</w:t>
      </w:r>
      <w:r w:rsidRPr="00FB6D7B">
        <w:t>]</w:t>
      </w:r>
      <w:r>
        <w:t>. Для большинства органов исполнительной власти Российской федерации характерный регламентный и функциональный подходы, предписывающие все функции и задачи. При этом деятельность характеризуется низкой эффективность. [2</w:t>
      </w:r>
      <w:r w:rsidRPr="005C0302">
        <w:t>]</w:t>
      </w:r>
      <w:r>
        <w:t xml:space="preserve">. Важно отметить, что данные подходы предполагают следование бюрократическим нормам и предписаниям, что с одной стороны повышает контроль деятельности, помогает избежать многих ошибок, возникающих в процессе донесения указаний до нижестоящего органа. С другой стороны, регламентный и функциональный подходы практически полностью исключают элементы творчества, гибкости. </w:t>
      </w:r>
    </w:p>
    <w:p w:rsidR="00750550" w:rsidRPr="00CD2C80" w:rsidRDefault="00750550" w:rsidP="00F84EFC">
      <w:r>
        <w:t>Одним из возможных способов повышения эффективности деятельности государственных органов является развитие проектного подхода к управлению, который сочетает в себе сильные стороны ряда других подходов. [4</w:t>
      </w:r>
      <w:r w:rsidRPr="00943FE9">
        <w:t>]</w:t>
      </w:r>
      <w:r>
        <w:t>.</w:t>
      </w:r>
      <w:r w:rsidRPr="00943FE9">
        <w:t xml:space="preserve"> </w:t>
      </w:r>
      <w:r>
        <w:t>Проектный подход обеспечивает прозрачность деятельности публичного сектора, позволяет повысить качество и сократить сроки достижения планируемых результатов. Так, по данным Международной ассоциации управления проектами, на практике использование методологии и инструментария проектного управления помогает экономить порядка 20–30% времени и 15–20% затрачиваемых на осуществление деятельности средств.</w:t>
      </w:r>
    </w:p>
    <w:p w:rsidR="00750550" w:rsidRDefault="00750550" w:rsidP="000A64FE">
      <w:r>
        <w:t xml:space="preserve">На сегодняшний день инициатором внедрения проектного управления является глава государства Путин В.В. Выступая в рамках Санкт-Петербургского международного экономического форума 19 июня 2015 года, президент произнес следующие слова: «Считаю целесообразным создать в каждом регионе страны специальные штабы, проектные офисы, </w:t>
      </w:r>
      <w:r>
        <w:lastRenderedPageBreak/>
        <w:t>которые станут своего рода администрациями развития, обеспечат внедрение лучших механизмов создания благоприятного инвестиционного климата». [6</w:t>
      </w:r>
      <w:r w:rsidRPr="00CD2C80">
        <w:t>]</w:t>
      </w:r>
      <w:r>
        <w:t>.</w:t>
      </w:r>
    </w:p>
    <w:p w:rsidR="00922001" w:rsidRPr="00CD2C80" w:rsidRDefault="00922001" w:rsidP="000A64FE">
      <w:r>
        <w:t>Очевидно, что для создания успешной системы необходимо формирование нормативной базы. Так, в постановлении Правительства РФ от 15.10.2016 № 1050 «Об организации проектной деятельности в Правительстве Российской Федерации» устанавливается порядок организации проектной деятельности, включая этапы проектов. В распоряжении Правительства Российской Федерации от 15 октября 2016 г. № 2165-р приведён план первоочередных проектных мероприятий на 2016-2017 г. Протоколами заседания Совета при Президенте Российский Федерации по стратегическому развитию и приоритетным проектам 13.07.2016 №1 и от 01.10.2016 №6 устанавливаются 11 основных направлений стратегического развития РФ.</w:t>
      </w:r>
      <w:r w:rsidRPr="0087651B">
        <w:t xml:space="preserve"> </w:t>
      </w:r>
      <w:r w:rsidRPr="00CD2C80">
        <w:t>[5]</w:t>
      </w:r>
      <w:r>
        <w:t>.</w:t>
      </w:r>
    </w:p>
    <w:p w:rsidR="00922001" w:rsidRPr="00BB6F60" w:rsidRDefault="00922001" w:rsidP="00F84EFC">
      <w:r>
        <w:t>В последние годы был проделан большой объём работы по написанию методической документации в области проектного управления. Методическая документация складывается из ГОСТов серии Р 54869-2011, Р 54870-2011, Р 54871-2011. В данных стандартах даются основополагающие требования к управлению проектом, к управлению портфелем проектов, к управлению программой. Принят в России международный стандарт по управлению проектами ISO 21500-2012 «</w:t>
      </w:r>
      <w:proofErr w:type="spellStart"/>
      <w:r>
        <w:t>Guidance</w:t>
      </w:r>
      <w:proofErr w:type="spellEnd"/>
      <w:r>
        <w:t xml:space="preserve"> </w:t>
      </w:r>
      <w:proofErr w:type="spellStart"/>
      <w:r>
        <w:t>on</w:t>
      </w:r>
      <w:proofErr w:type="spellEnd"/>
      <w:r>
        <w:t xml:space="preserve"> </w:t>
      </w:r>
      <w:proofErr w:type="spellStart"/>
      <w:r>
        <w:t>project</w:t>
      </w:r>
      <w:proofErr w:type="spellEnd"/>
      <w:r>
        <w:t xml:space="preserve"> </w:t>
      </w:r>
      <w:proofErr w:type="spellStart"/>
      <w:r>
        <w:t>management</w:t>
      </w:r>
      <w:proofErr w:type="spellEnd"/>
      <w:r>
        <w:t xml:space="preserve">» (руководство по проектному менеджменту). В распоряжении Минэкономразвития России от 14.04.2014 № 26Р-АУ даются методические рекомендации по введению проектной деятельности в органы исполнительной власти. К тому же, приняты методические рекомендации Агентства стратегических инициатив по применению проектного управления при решении задач улучшения инвестиционного климата в субъектах Российской Федерации и методические рекомендации по мониторингу приоритетных проектов и программ от 01.12.2016. </w:t>
      </w:r>
      <w:r w:rsidRPr="00BB6F60">
        <w:t>[5]</w:t>
      </w:r>
      <w:r>
        <w:t>.</w:t>
      </w:r>
    </w:p>
    <w:p w:rsidR="00922001" w:rsidRDefault="00922001" w:rsidP="00F84EFC">
      <w:r>
        <w:t>Развитие повсеместной проектной деятельности невозможно без создания проектных офисов в каждом регионе. Перед проектными офисами, как организациями, ответственными за проектную деятельность в регионе, руководство поставило следующие задачи</w:t>
      </w:r>
      <w:r w:rsidRPr="00090EA0">
        <w:t>:</w:t>
      </w:r>
    </w:p>
    <w:p w:rsidR="00922001" w:rsidRDefault="00922001" w:rsidP="00F84EFC">
      <w:pPr>
        <w:pStyle w:val="a3"/>
        <w:numPr>
          <w:ilvl w:val="0"/>
          <w:numId w:val="1"/>
        </w:numPr>
        <w:spacing w:line="360" w:lineRule="auto"/>
      </w:pPr>
      <w:r>
        <w:t>Разработка и внедрение нормативно-правовой базы и методической документации по проектному управлению.</w:t>
      </w:r>
    </w:p>
    <w:p w:rsidR="00922001" w:rsidRDefault="00922001" w:rsidP="00F84EFC">
      <w:pPr>
        <w:pStyle w:val="a3"/>
        <w:numPr>
          <w:ilvl w:val="0"/>
          <w:numId w:val="1"/>
        </w:numPr>
        <w:spacing w:line="360" w:lineRule="auto"/>
      </w:pPr>
      <w:r>
        <w:t>Внедрение, поддержка и развитие методов АИС.</w:t>
      </w:r>
    </w:p>
    <w:p w:rsidR="00922001" w:rsidRDefault="00922001" w:rsidP="00F84EFC">
      <w:pPr>
        <w:pStyle w:val="a3"/>
        <w:numPr>
          <w:ilvl w:val="0"/>
          <w:numId w:val="1"/>
        </w:numPr>
        <w:spacing w:line="360" w:lineRule="auto"/>
      </w:pPr>
      <w:r>
        <w:t>Внедрение, поддержка и развитие системы мотивации.</w:t>
      </w:r>
    </w:p>
    <w:p w:rsidR="00922001" w:rsidRDefault="00922001" w:rsidP="00F84EFC">
      <w:pPr>
        <w:pStyle w:val="a3"/>
        <w:numPr>
          <w:ilvl w:val="0"/>
          <w:numId w:val="1"/>
        </w:numPr>
        <w:spacing w:line="360" w:lineRule="auto"/>
      </w:pPr>
      <w:r>
        <w:t>Организация обучения проектному управлению.</w:t>
      </w:r>
    </w:p>
    <w:p w:rsidR="00922001" w:rsidRDefault="00922001" w:rsidP="00F84EFC">
      <w:pPr>
        <w:pStyle w:val="a3"/>
        <w:numPr>
          <w:ilvl w:val="0"/>
          <w:numId w:val="1"/>
        </w:numPr>
        <w:spacing w:line="360" w:lineRule="auto"/>
      </w:pPr>
      <w:r>
        <w:t>Организация работы проектного офиса, обеспечивающего координацию планирования, реализации проектов, программ, достижения вех и показателей, контроль проектной деятельности.</w:t>
      </w:r>
    </w:p>
    <w:p w:rsidR="00922001" w:rsidRDefault="00922001" w:rsidP="00F84EFC">
      <w:pPr>
        <w:pStyle w:val="a3"/>
        <w:numPr>
          <w:ilvl w:val="0"/>
          <w:numId w:val="1"/>
        </w:numPr>
        <w:spacing w:line="360" w:lineRule="auto"/>
      </w:pPr>
      <w:r>
        <w:t>Организация мониторинга реализации проектов.</w:t>
      </w:r>
    </w:p>
    <w:p w:rsidR="00922001" w:rsidRDefault="00922001" w:rsidP="00F84EFC">
      <w:r>
        <w:lastRenderedPageBreak/>
        <w:t>На данный момент, в 70% регионов России созданы и функционируют проектные</w:t>
      </w:r>
      <w:r w:rsidRPr="006714F3">
        <w:t xml:space="preserve"> </w:t>
      </w:r>
      <w:r>
        <w:t>офисы (рисунок 1).</w:t>
      </w:r>
    </w:p>
    <w:p w:rsidR="00922001" w:rsidRDefault="00922001" w:rsidP="00922001">
      <w:pPr>
        <w:ind w:firstLine="0"/>
        <w:jc w:val="center"/>
      </w:pPr>
      <w:r>
        <w:t>.</w:t>
      </w:r>
      <w:r>
        <w:rPr>
          <w:noProof/>
          <w:lang w:eastAsia="ru-RU"/>
        </w:rPr>
        <w:drawing>
          <wp:inline distT="0" distB="0" distL="0" distR="0" wp14:anchorId="012C514C" wp14:editId="1C377733">
            <wp:extent cx="2844000" cy="3204000"/>
            <wp:effectExtent l="0" t="0" r="1397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2001" w:rsidRPr="00090EA0" w:rsidRDefault="00893145" w:rsidP="00922001">
      <w:pPr>
        <w:spacing w:after="240"/>
        <w:ind w:firstLine="0"/>
        <w:jc w:val="center"/>
      </w:pPr>
      <w:r>
        <w:t>Рисунок 1 –</w:t>
      </w:r>
      <w:r w:rsidR="00922001">
        <w:t xml:space="preserve"> Количество созданных/не созданных проектных офисов в регионах РФ</w:t>
      </w:r>
    </w:p>
    <w:p w:rsidR="00922001" w:rsidRDefault="00922001" w:rsidP="00922001">
      <w:pPr>
        <w:spacing w:after="240"/>
      </w:pPr>
      <w:r>
        <w:t>На рисунке 2 изображена динамика образования новых проектных офисов за период 2010-2017 г.</w:t>
      </w:r>
    </w:p>
    <w:p w:rsidR="00922001" w:rsidRDefault="00922001" w:rsidP="00922001">
      <w:pPr>
        <w:ind w:firstLine="0"/>
        <w:jc w:val="center"/>
      </w:pPr>
      <w:r>
        <w:rPr>
          <w:noProof/>
          <w:lang w:eastAsia="ru-RU"/>
        </w:rPr>
        <w:drawing>
          <wp:inline distT="0" distB="0" distL="0" distR="0" wp14:anchorId="16E4A7E9" wp14:editId="5D0A667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2001" w:rsidRDefault="00893145" w:rsidP="00922001">
      <w:pPr>
        <w:spacing w:after="240"/>
        <w:ind w:firstLine="0"/>
        <w:jc w:val="center"/>
      </w:pPr>
      <w:r>
        <w:t>Рисунок 2 –</w:t>
      </w:r>
      <w:r w:rsidR="00922001">
        <w:t xml:space="preserve"> Динамика образования новых проектных офисов в регионах РФ</w:t>
      </w:r>
    </w:p>
    <w:p w:rsidR="00922001" w:rsidRDefault="00922001" w:rsidP="00F84EFC">
      <w:r>
        <w:t xml:space="preserve">Наблюдается значительный рост количества проектных офисов в 2015-2016 годах. Это явление обусловлено выбранным политическим и экономическим курсом на </w:t>
      </w:r>
      <w:r>
        <w:lastRenderedPageBreak/>
        <w:t>повсеместное внедрение проектной деятельности и повышенным внимание к развитию проектного управления со стороны высшего руководства страны. В регионах, не обладающих проектными офисами, на данный момент ведется работа по их созданию. Однако, говорить об эффективности недавно созданных проектных офисов ещё рано и к тому же, в ряде регионов создание офисов происходит чисто формально.</w:t>
      </w:r>
    </w:p>
    <w:p w:rsidR="0077598F" w:rsidRPr="00CD2C6F" w:rsidRDefault="0077598F" w:rsidP="00F84EFC">
      <w:pPr>
        <w:rPr>
          <w:rFonts w:cs="Times New Roman"/>
          <w:b/>
          <w:szCs w:val="24"/>
        </w:rPr>
      </w:pPr>
      <w:r>
        <w:rPr>
          <w:rFonts w:cs="Times New Roman"/>
          <w:szCs w:val="24"/>
        </w:rPr>
        <w:t xml:space="preserve">Среди регионов России, развивающих проектное управление, лидирующую позицию занимает Белгородская область. За реализацию проектной деятельности в регионе отвечает Областной проектный офис, входящий в состав Департамента внутренней и кадровой политики Белгородской области. </w:t>
      </w:r>
    </w:p>
    <w:p w:rsidR="00F26964" w:rsidRDefault="0077598F" w:rsidP="002609E3">
      <w:pPr>
        <w:rPr>
          <w:rFonts w:cs="Times New Roman"/>
          <w:color w:val="auto"/>
          <w:szCs w:val="24"/>
        </w:rPr>
      </w:pPr>
      <w:r w:rsidRPr="0077598F">
        <w:rPr>
          <w:rFonts w:cs="Times New Roman"/>
          <w:color w:val="auto"/>
          <w:szCs w:val="24"/>
        </w:rPr>
        <w:t>Проекты организовываются в рамках четырех основных направлениях деятельности: экономическое, социальное, организационное, техническое. Примеры проектов в соответствии с направлением приведены в таблице 1.</w:t>
      </w:r>
    </w:p>
    <w:p w:rsidR="0077598F" w:rsidRPr="00F26964" w:rsidRDefault="0077598F" w:rsidP="002609E3">
      <w:pPr>
        <w:ind w:firstLine="0"/>
        <w:jc w:val="center"/>
        <w:rPr>
          <w:rFonts w:cs="Times New Roman"/>
          <w:color w:val="auto"/>
          <w:sz w:val="22"/>
          <w:szCs w:val="24"/>
        </w:rPr>
      </w:pPr>
      <w:r w:rsidRPr="00F26964">
        <w:rPr>
          <w:rFonts w:cs="Times New Roman"/>
          <w:color w:val="auto"/>
          <w:sz w:val="22"/>
          <w:szCs w:val="24"/>
        </w:rPr>
        <w:t>Таблица 1 – Примеры проектов в соответствии с направлением</w:t>
      </w:r>
    </w:p>
    <w:tbl>
      <w:tblPr>
        <w:tblStyle w:val="a4"/>
        <w:tblW w:w="9639" w:type="dxa"/>
        <w:tblInd w:w="-5" w:type="dxa"/>
        <w:tblLook w:val="04A0" w:firstRow="1" w:lastRow="0" w:firstColumn="1" w:lastColumn="0" w:noHBand="0" w:noVBand="1"/>
      </w:tblPr>
      <w:tblGrid>
        <w:gridCol w:w="2518"/>
        <w:gridCol w:w="7121"/>
      </w:tblGrid>
      <w:tr w:rsidR="0077598F" w:rsidRPr="0077598F" w:rsidTr="00F26964">
        <w:tc>
          <w:tcPr>
            <w:tcW w:w="2518"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Направление</w:t>
            </w: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Пример проекта</w:t>
            </w:r>
          </w:p>
        </w:tc>
      </w:tr>
      <w:tr w:rsidR="0077598F" w:rsidRPr="0077598F" w:rsidTr="00F26964">
        <w:tc>
          <w:tcPr>
            <w:tcW w:w="2518" w:type="dxa"/>
            <w:vMerge w:val="restart"/>
            <w:vAlign w:val="center"/>
          </w:tcPr>
          <w:p w:rsidR="0077598F" w:rsidRPr="002609E3" w:rsidRDefault="0077598F" w:rsidP="0077598F">
            <w:pPr>
              <w:spacing w:line="240" w:lineRule="auto"/>
              <w:ind w:firstLine="0"/>
              <w:jc w:val="center"/>
              <w:rPr>
                <w:rFonts w:ascii="Arial" w:hAnsi="Arial" w:cs="Arial"/>
                <w:color w:val="auto"/>
                <w:sz w:val="18"/>
                <w:szCs w:val="18"/>
              </w:rPr>
            </w:pPr>
            <w:r w:rsidRPr="002609E3">
              <w:rPr>
                <w:rFonts w:ascii="Arial" w:hAnsi="Arial" w:cs="Arial"/>
                <w:color w:val="auto"/>
                <w:sz w:val="18"/>
                <w:szCs w:val="18"/>
              </w:rPr>
              <w:t>Экономическое</w:t>
            </w: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Комбинат по переработке мяса на базе «Ордена Трудового Красного Знамени колхоз имени Фрунзе» (1 150 млн. руб.)</w:t>
            </w:r>
          </w:p>
        </w:tc>
      </w:tr>
      <w:tr w:rsidR="0077598F" w:rsidRPr="0077598F" w:rsidTr="00F26964">
        <w:tc>
          <w:tcPr>
            <w:tcW w:w="2518" w:type="dxa"/>
            <w:vMerge/>
          </w:tcPr>
          <w:p w:rsidR="0077598F" w:rsidRPr="002609E3" w:rsidRDefault="0077598F" w:rsidP="0077598F">
            <w:pPr>
              <w:spacing w:line="240" w:lineRule="auto"/>
              <w:ind w:firstLine="0"/>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Создание производства готовых лекарственных препаратов ООО «Пик-</w:t>
            </w:r>
            <w:proofErr w:type="spellStart"/>
            <w:r w:rsidRPr="002609E3">
              <w:rPr>
                <w:rFonts w:ascii="Arial" w:hAnsi="Arial" w:cs="Arial"/>
                <w:color w:val="auto"/>
                <w:sz w:val="18"/>
                <w:szCs w:val="18"/>
              </w:rPr>
              <w:t>Фарма</w:t>
            </w:r>
            <w:proofErr w:type="spellEnd"/>
            <w:r w:rsidRPr="002609E3">
              <w:rPr>
                <w:rFonts w:ascii="Arial" w:hAnsi="Arial" w:cs="Arial"/>
                <w:color w:val="auto"/>
                <w:sz w:val="18"/>
                <w:szCs w:val="18"/>
              </w:rPr>
              <w:t xml:space="preserve"> Лек» (750 млн. руб.)</w:t>
            </w:r>
          </w:p>
        </w:tc>
      </w:tr>
      <w:tr w:rsidR="0077598F" w:rsidRPr="0077598F" w:rsidTr="00F26964">
        <w:tc>
          <w:tcPr>
            <w:tcW w:w="2518" w:type="dxa"/>
            <w:vMerge/>
          </w:tcPr>
          <w:p w:rsidR="0077598F" w:rsidRPr="002609E3" w:rsidRDefault="0077598F" w:rsidP="0077598F">
            <w:pPr>
              <w:spacing w:line="240" w:lineRule="auto"/>
              <w:ind w:firstLine="0"/>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 xml:space="preserve">Расширение завода по производству сыра ООО «Хохланд </w:t>
            </w:r>
            <w:proofErr w:type="spellStart"/>
            <w:r w:rsidRPr="002609E3">
              <w:rPr>
                <w:rFonts w:ascii="Arial" w:hAnsi="Arial" w:cs="Arial"/>
                <w:color w:val="auto"/>
                <w:sz w:val="18"/>
                <w:szCs w:val="18"/>
              </w:rPr>
              <w:t>Руссланд</w:t>
            </w:r>
            <w:proofErr w:type="spellEnd"/>
            <w:r w:rsidRPr="002609E3">
              <w:rPr>
                <w:rFonts w:ascii="Arial" w:hAnsi="Arial" w:cs="Arial"/>
                <w:color w:val="auto"/>
                <w:sz w:val="18"/>
                <w:szCs w:val="18"/>
              </w:rPr>
              <w:t>» (500 млн. руб.)</w:t>
            </w:r>
          </w:p>
        </w:tc>
      </w:tr>
      <w:tr w:rsidR="0077598F" w:rsidRPr="0077598F" w:rsidTr="00F26964">
        <w:tc>
          <w:tcPr>
            <w:tcW w:w="2518" w:type="dxa"/>
            <w:vMerge/>
          </w:tcPr>
          <w:p w:rsidR="0077598F" w:rsidRPr="002609E3" w:rsidRDefault="0077598F" w:rsidP="0077598F">
            <w:pPr>
              <w:spacing w:line="240" w:lineRule="auto"/>
              <w:ind w:firstLine="0"/>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 xml:space="preserve">Создание завода по производству кормов для ценных пород рыб в </w:t>
            </w:r>
            <w:proofErr w:type="spellStart"/>
            <w:r w:rsidRPr="002609E3">
              <w:rPr>
                <w:rFonts w:ascii="Arial" w:hAnsi="Arial" w:cs="Arial"/>
                <w:color w:val="auto"/>
                <w:sz w:val="18"/>
                <w:szCs w:val="18"/>
              </w:rPr>
              <w:t>Шебекенском</w:t>
            </w:r>
            <w:proofErr w:type="spellEnd"/>
            <w:r w:rsidRPr="002609E3">
              <w:rPr>
                <w:rFonts w:ascii="Arial" w:hAnsi="Arial" w:cs="Arial"/>
                <w:color w:val="auto"/>
                <w:sz w:val="18"/>
                <w:szCs w:val="18"/>
              </w:rPr>
              <w:t xml:space="preserve"> районе области (504 млн. руб.)</w:t>
            </w:r>
          </w:p>
        </w:tc>
      </w:tr>
      <w:tr w:rsidR="0077598F" w:rsidRPr="0077598F" w:rsidTr="00F26964">
        <w:tc>
          <w:tcPr>
            <w:tcW w:w="2518" w:type="dxa"/>
            <w:vMerge w:val="restart"/>
            <w:vAlign w:val="center"/>
          </w:tcPr>
          <w:p w:rsidR="0077598F" w:rsidRPr="002609E3" w:rsidRDefault="0077598F" w:rsidP="0077598F">
            <w:pPr>
              <w:spacing w:line="240" w:lineRule="auto"/>
              <w:ind w:firstLine="0"/>
              <w:jc w:val="center"/>
              <w:rPr>
                <w:rFonts w:ascii="Arial" w:hAnsi="Arial" w:cs="Arial"/>
                <w:color w:val="auto"/>
                <w:sz w:val="18"/>
                <w:szCs w:val="18"/>
              </w:rPr>
            </w:pPr>
            <w:r w:rsidRPr="002609E3">
              <w:rPr>
                <w:rFonts w:ascii="Arial" w:hAnsi="Arial" w:cs="Arial"/>
                <w:color w:val="auto"/>
                <w:sz w:val="18"/>
                <w:szCs w:val="18"/>
              </w:rPr>
              <w:t>Социальное</w:t>
            </w: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Внедрение комплекса «Готов к труду и обороне» (ГТО)</w:t>
            </w:r>
          </w:p>
        </w:tc>
      </w:tr>
      <w:tr w:rsidR="0077598F" w:rsidRPr="0077598F" w:rsidTr="00F26964">
        <w:tc>
          <w:tcPr>
            <w:tcW w:w="2518" w:type="dxa"/>
            <w:vMerge/>
          </w:tcPr>
          <w:p w:rsidR="0077598F" w:rsidRPr="002609E3" w:rsidRDefault="0077598F" w:rsidP="0077598F">
            <w:pPr>
              <w:spacing w:line="240" w:lineRule="auto"/>
              <w:ind w:firstLine="0"/>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Модернизация станций по переливанию крови</w:t>
            </w:r>
          </w:p>
        </w:tc>
      </w:tr>
      <w:tr w:rsidR="0077598F" w:rsidRPr="0077598F" w:rsidTr="00F26964">
        <w:tc>
          <w:tcPr>
            <w:tcW w:w="2518" w:type="dxa"/>
            <w:vMerge/>
          </w:tcPr>
          <w:p w:rsidR="0077598F" w:rsidRPr="002609E3" w:rsidRDefault="0077598F" w:rsidP="0077598F">
            <w:pPr>
              <w:spacing w:line="240" w:lineRule="auto"/>
              <w:ind w:firstLine="0"/>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Создание механизма сопровождения беременных женщин от начала беременности до окончания родов «Шаг за шагом вместе»</w:t>
            </w:r>
          </w:p>
        </w:tc>
      </w:tr>
      <w:tr w:rsidR="0077598F" w:rsidRPr="0077598F" w:rsidTr="00F26964">
        <w:tc>
          <w:tcPr>
            <w:tcW w:w="2518" w:type="dxa"/>
            <w:vMerge w:val="restart"/>
            <w:vAlign w:val="center"/>
          </w:tcPr>
          <w:p w:rsidR="0077598F" w:rsidRPr="002609E3" w:rsidRDefault="0077598F" w:rsidP="0077598F">
            <w:pPr>
              <w:spacing w:line="240" w:lineRule="auto"/>
              <w:ind w:firstLine="0"/>
              <w:jc w:val="center"/>
              <w:rPr>
                <w:rFonts w:ascii="Arial" w:hAnsi="Arial" w:cs="Arial"/>
                <w:color w:val="auto"/>
                <w:sz w:val="18"/>
                <w:szCs w:val="18"/>
              </w:rPr>
            </w:pPr>
            <w:r w:rsidRPr="002609E3">
              <w:rPr>
                <w:rFonts w:ascii="Arial" w:hAnsi="Arial" w:cs="Arial"/>
                <w:color w:val="auto"/>
                <w:sz w:val="18"/>
                <w:szCs w:val="18"/>
              </w:rPr>
              <w:t>Организационное</w:t>
            </w: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Формирование региональной модели государственного управления посредством народной экспертизы</w:t>
            </w:r>
          </w:p>
        </w:tc>
      </w:tr>
      <w:tr w:rsidR="0077598F" w:rsidRPr="0077598F" w:rsidTr="00F26964">
        <w:tc>
          <w:tcPr>
            <w:tcW w:w="2518" w:type="dxa"/>
            <w:vMerge/>
            <w:vAlign w:val="center"/>
          </w:tcPr>
          <w:p w:rsidR="0077598F" w:rsidRPr="002609E3" w:rsidRDefault="0077598F" w:rsidP="0077598F">
            <w:pPr>
              <w:spacing w:line="240" w:lineRule="auto"/>
              <w:ind w:firstLine="0"/>
              <w:jc w:val="center"/>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Художественное оформление подъездов многоквартирных домов «Яркая жизнь – наша жизнь!»</w:t>
            </w:r>
          </w:p>
        </w:tc>
      </w:tr>
      <w:tr w:rsidR="0077598F" w:rsidRPr="0077598F" w:rsidTr="00F26964">
        <w:tc>
          <w:tcPr>
            <w:tcW w:w="2518" w:type="dxa"/>
            <w:vMerge w:val="restart"/>
            <w:vAlign w:val="center"/>
          </w:tcPr>
          <w:p w:rsidR="0077598F" w:rsidRPr="002609E3" w:rsidRDefault="0077598F" w:rsidP="0077598F">
            <w:pPr>
              <w:spacing w:line="240" w:lineRule="auto"/>
              <w:ind w:firstLine="0"/>
              <w:jc w:val="center"/>
              <w:rPr>
                <w:rFonts w:ascii="Arial" w:hAnsi="Arial" w:cs="Arial"/>
                <w:color w:val="auto"/>
                <w:sz w:val="18"/>
                <w:szCs w:val="18"/>
              </w:rPr>
            </w:pPr>
            <w:r w:rsidRPr="002609E3">
              <w:rPr>
                <w:rFonts w:ascii="Arial" w:hAnsi="Arial" w:cs="Arial"/>
                <w:color w:val="auto"/>
                <w:sz w:val="18"/>
                <w:szCs w:val="18"/>
              </w:rPr>
              <w:t>Техническое</w:t>
            </w: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Разработка  системы управления государственными муниципальными закупками</w:t>
            </w:r>
          </w:p>
        </w:tc>
      </w:tr>
      <w:tr w:rsidR="0077598F" w:rsidRPr="0077598F" w:rsidTr="00F26964">
        <w:tc>
          <w:tcPr>
            <w:tcW w:w="2518" w:type="dxa"/>
            <w:vMerge/>
            <w:vAlign w:val="center"/>
          </w:tcPr>
          <w:p w:rsidR="0077598F" w:rsidRPr="002609E3" w:rsidRDefault="0077598F" w:rsidP="0077598F">
            <w:pPr>
              <w:spacing w:line="240" w:lineRule="auto"/>
              <w:ind w:firstLine="0"/>
              <w:jc w:val="center"/>
              <w:rPr>
                <w:rFonts w:ascii="Arial" w:hAnsi="Arial" w:cs="Arial"/>
                <w:color w:val="auto"/>
                <w:sz w:val="18"/>
                <w:szCs w:val="18"/>
              </w:rPr>
            </w:pPr>
          </w:p>
        </w:tc>
        <w:tc>
          <w:tcPr>
            <w:tcW w:w="7121" w:type="dxa"/>
          </w:tcPr>
          <w:p w:rsidR="0077598F" w:rsidRPr="002609E3" w:rsidRDefault="0077598F" w:rsidP="0077598F">
            <w:pPr>
              <w:spacing w:line="240" w:lineRule="auto"/>
              <w:ind w:firstLine="0"/>
              <w:rPr>
                <w:rFonts w:ascii="Arial" w:hAnsi="Arial" w:cs="Arial"/>
                <w:color w:val="auto"/>
                <w:sz w:val="18"/>
                <w:szCs w:val="18"/>
              </w:rPr>
            </w:pPr>
            <w:r w:rsidRPr="002609E3">
              <w:rPr>
                <w:rFonts w:ascii="Arial" w:hAnsi="Arial" w:cs="Arial"/>
                <w:color w:val="auto"/>
                <w:sz w:val="18"/>
                <w:szCs w:val="18"/>
              </w:rPr>
              <w:t>Модернизация деятельности ГУП «</w:t>
            </w:r>
            <w:proofErr w:type="spellStart"/>
            <w:r w:rsidRPr="002609E3">
              <w:rPr>
                <w:rFonts w:ascii="Arial" w:hAnsi="Arial" w:cs="Arial"/>
                <w:color w:val="auto"/>
                <w:sz w:val="18"/>
                <w:szCs w:val="18"/>
              </w:rPr>
              <w:t>Белоблтехинвентаризация</w:t>
            </w:r>
            <w:proofErr w:type="spellEnd"/>
            <w:r w:rsidRPr="002609E3">
              <w:rPr>
                <w:rFonts w:ascii="Arial" w:hAnsi="Arial" w:cs="Arial"/>
                <w:color w:val="auto"/>
                <w:sz w:val="18"/>
                <w:szCs w:val="18"/>
              </w:rPr>
              <w:t>»</w:t>
            </w:r>
          </w:p>
        </w:tc>
      </w:tr>
    </w:tbl>
    <w:p w:rsidR="00893145" w:rsidRDefault="00893145" w:rsidP="00893145">
      <w:pPr>
        <w:rPr>
          <w:rFonts w:cs="Times New Roman"/>
          <w:szCs w:val="24"/>
        </w:rPr>
      </w:pPr>
    </w:p>
    <w:p w:rsidR="004802BD" w:rsidRPr="001C5B8E" w:rsidRDefault="004802BD" w:rsidP="00893145">
      <w:pPr>
        <w:rPr>
          <w:rFonts w:cs="Times New Roman"/>
          <w:color w:val="FF0000"/>
          <w:szCs w:val="24"/>
        </w:rPr>
      </w:pPr>
      <w:r>
        <w:rPr>
          <w:rFonts w:cs="Times New Roman"/>
          <w:szCs w:val="24"/>
        </w:rPr>
        <w:t>С момента образования Областного проектного офиса в Белгородской области был проделан большой объём работы. Общее количество проектов, прошедших за 5 лет через Областной проектный офис (период 2010-2016 г.) составляет более 2300. Из них завершено 950 проектов, 850 проектов находятся в реализации, 500 проектов на стадии разработки. По структуре из 2300 проектов: 600 имеют региональный статус, 1700 – проекты муниципального уровня.</w:t>
      </w:r>
    </w:p>
    <w:p w:rsidR="004802BD" w:rsidRDefault="004802BD" w:rsidP="00F84EFC">
      <w:pPr>
        <w:rPr>
          <w:rFonts w:cs="Times New Roman"/>
          <w:szCs w:val="24"/>
        </w:rPr>
      </w:pPr>
      <w:r>
        <w:rPr>
          <w:rFonts w:cs="Times New Roman"/>
          <w:szCs w:val="24"/>
        </w:rPr>
        <w:t xml:space="preserve">Примечательным является количество служащих, занятых в проектной деятельности, их доля составляет более 50% от общего числа государственных работников в регионе. Проектному управлению обучены 750 государственных и 1900 муниципальных служащих. Всего по области в проектную деятельность вовлечено 30 региональных и 22 </w:t>
      </w:r>
      <w:r>
        <w:rPr>
          <w:rFonts w:cs="Times New Roman"/>
          <w:szCs w:val="24"/>
        </w:rPr>
        <w:lastRenderedPageBreak/>
        <w:t>муниципальных образования органов власти.</w:t>
      </w:r>
      <w:r w:rsidRPr="003E3541">
        <w:rPr>
          <w:rFonts w:cs="Times New Roman"/>
          <w:szCs w:val="24"/>
        </w:rPr>
        <w:t xml:space="preserve"> </w:t>
      </w:r>
      <w:r>
        <w:rPr>
          <w:rFonts w:cs="Times New Roman"/>
          <w:szCs w:val="24"/>
        </w:rPr>
        <w:t>На 2016 г. проектный премиальный фонд составляет 18,3 млн. руб.</w:t>
      </w:r>
    </w:p>
    <w:p w:rsidR="004802BD" w:rsidRDefault="004802BD" w:rsidP="00F84EFC">
      <w:pPr>
        <w:rPr>
          <w:rFonts w:cs="Times New Roman"/>
          <w:szCs w:val="24"/>
        </w:rPr>
      </w:pPr>
      <w:r>
        <w:rPr>
          <w:rFonts w:cs="Times New Roman"/>
          <w:szCs w:val="24"/>
        </w:rPr>
        <w:t>С начала внедрения проектной деятельности удалось сократить срок разработки и согласования проектов путём уменьшения бюрократических издержек. Средняя экономия на 1 проект составляет 2 месяца. Увеличилась скорость освоения инвестиций (в среднем объём инвестиций в проекты вырос на 23%). Увеличился ключевой региональный показатель – темп прироста ВРП (с 2011 года посредством внедрения проектного управления прирост ВРП составил 0,1% (более 3 млрд. руб.).</w:t>
      </w:r>
    </w:p>
    <w:p w:rsidR="001D7EA9" w:rsidRPr="00E72F06" w:rsidRDefault="001D7EA9" w:rsidP="00F84EFC">
      <w:pPr>
        <w:rPr>
          <w:rFonts w:cs="Times New Roman"/>
          <w:szCs w:val="24"/>
        </w:rPr>
      </w:pPr>
    </w:p>
    <w:p w:rsidR="0077598F" w:rsidRDefault="0058331A" w:rsidP="001D7EA9">
      <w:pPr>
        <w:jc w:val="center"/>
        <w:rPr>
          <w:b/>
        </w:rPr>
      </w:pPr>
      <w:r w:rsidRPr="0058331A">
        <w:rPr>
          <w:b/>
        </w:rPr>
        <w:t>Библиографический список</w:t>
      </w:r>
    </w:p>
    <w:p w:rsidR="007E422F" w:rsidRDefault="007E422F" w:rsidP="001D7EA9">
      <w:pPr>
        <w:pStyle w:val="a3"/>
        <w:numPr>
          <w:ilvl w:val="0"/>
          <w:numId w:val="2"/>
        </w:numPr>
        <w:spacing w:line="360" w:lineRule="auto"/>
        <w:ind w:left="0" w:firstLine="709"/>
      </w:pPr>
      <w:r>
        <w:t>Беляев, В. В. Проектное управление: развитие, особенности, отличительные черты [Текст] /В. В. Беляев // Формирование и реализация стратегии устойчивого экономического развития Российской Федерации: сборник статей IV Международной научно-практической конференции /под общ. ред. Б. Я. Татарских, О. В. Федорова, 2014. – С. 14–24.</w:t>
      </w:r>
    </w:p>
    <w:p w:rsidR="007E422F" w:rsidRDefault="007E422F" w:rsidP="001D7EA9">
      <w:pPr>
        <w:pStyle w:val="a3"/>
        <w:numPr>
          <w:ilvl w:val="0"/>
          <w:numId w:val="2"/>
        </w:numPr>
        <w:spacing w:line="360" w:lineRule="auto"/>
        <w:ind w:left="0" w:firstLine="709"/>
      </w:pPr>
      <w:r>
        <w:t>Государственное стратегическое управление [Текст]: монография / под. общ. ред. проф. Ю. В. Кузнецова. – СПб.: Питер, 2014. – 320 с.</w:t>
      </w:r>
    </w:p>
    <w:p w:rsidR="007E422F" w:rsidRPr="004C2128" w:rsidRDefault="007E422F" w:rsidP="001D7EA9">
      <w:pPr>
        <w:pStyle w:val="a3"/>
        <w:numPr>
          <w:ilvl w:val="0"/>
          <w:numId w:val="2"/>
        </w:numPr>
        <w:spacing w:line="360" w:lineRule="auto"/>
        <w:ind w:left="0" w:firstLine="709"/>
      </w:pPr>
      <w:r w:rsidRPr="004C2128">
        <w:t>Забайкальский инвестиционный портал</w:t>
      </w:r>
      <w:r>
        <w:t xml:space="preserve"> </w:t>
      </w:r>
      <w:r w:rsidRPr="004D25AF">
        <w:t>[</w:t>
      </w:r>
      <w:r>
        <w:t>Электронный ресурс</w:t>
      </w:r>
      <w:r w:rsidRPr="004D25AF">
        <w:t>]</w:t>
      </w:r>
      <w:r>
        <w:t xml:space="preserve"> </w:t>
      </w:r>
      <w:r w:rsidRPr="004C2128">
        <w:t>/</w:t>
      </w:r>
      <w:r>
        <w:t xml:space="preserve"> Администрация Забайкальского края</w:t>
      </w:r>
      <w:r w:rsidRPr="004C2128">
        <w:t>.</w:t>
      </w:r>
      <w:r>
        <w:t xml:space="preserve"> – Режим доступа</w:t>
      </w:r>
      <w:r w:rsidRPr="004C2128">
        <w:t xml:space="preserve">: </w:t>
      </w:r>
      <w:r w:rsidRPr="00C53FF7">
        <w:rPr>
          <w:rFonts w:cs="Times New Roman"/>
          <w:szCs w:val="24"/>
          <w:lang w:val="en-US"/>
        </w:rPr>
        <w:t>http</w:t>
      </w:r>
      <w:r w:rsidRPr="00C53FF7">
        <w:rPr>
          <w:rFonts w:cs="Times New Roman"/>
          <w:szCs w:val="24"/>
        </w:rPr>
        <w:t>://</w:t>
      </w:r>
      <w:r w:rsidRPr="00C53FF7">
        <w:rPr>
          <w:rFonts w:cs="Times New Roman"/>
          <w:szCs w:val="24"/>
          <w:lang w:val="en-US"/>
        </w:rPr>
        <w:t>www</w:t>
      </w:r>
      <w:r>
        <w:t>.</w:t>
      </w:r>
      <w:r w:rsidRPr="004C2128">
        <w:t>zab-investporntal</w:t>
      </w:r>
      <w:r>
        <w:t>.ru</w:t>
      </w:r>
    </w:p>
    <w:p w:rsidR="007E422F" w:rsidRDefault="007E422F" w:rsidP="001D7EA9">
      <w:pPr>
        <w:pStyle w:val="a3"/>
        <w:numPr>
          <w:ilvl w:val="0"/>
          <w:numId w:val="2"/>
        </w:numPr>
        <w:spacing w:line="360" w:lineRule="auto"/>
        <w:ind w:left="0" w:firstLine="709"/>
      </w:pPr>
      <w:r>
        <w:t>Кожевников, С.А. Проектное управление как инструмент повышения эффективности деятельности органов государственной исполнительной власти /</w:t>
      </w:r>
      <w:r w:rsidRPr="00E02A9C">
        <w:t xml:space="preserve"> </w:t>
      </w:r>
      <w:r>
        <w:t>С.А. Кожевников // Вопросы территориального развития. – 2016. - №5 ч. 35.</w:t>
      </w:r>
    </w:p>
    <w:p w:rsidR="007E422F" w:rsidRPr="00A37CF3" w:rsidRDefault="007E422F" w:rsidP="001D7EA9">
      <w:pPr>
        <w:pStyle w:val="a3"/>
        <w:numPr>
          <w:ilvl w:val="0"/>
          <w:numId w:val="2"/>
        </w:numPr>
        <w:spacing w:line="360" w:lineRule="auto"/>
        <w:ind w:left="0" w:firstLine="709"/>
      </w:pPr>
      <w:r w:rsidRPr="00A37CF3">
        <w:t>Официальный сайт Администрации Приморского края и органов исполнительной власти Приморского края</w:t>
      </w:r>
      <w:r>
        <w:t xml:space="preserve"> </w:t>
      </w:r>
      <w:r w:rsidRPr="001B2C52">
        <w:t>[</w:t>
      </w:r>
      <w:r>
        <w:t>Электронный ресурс</w:t>
      </w:r>
      <w:r w:rsidRPr="001B2C52">
        <w:t>]</w:t>
      </w:r>
      <w:r>
        <w:t xml:space="preserve"> / Администрация Приморского края. – Режим доступа: </w:t>
      </w:r>
      <w:r w:rsidRPr="00C53FF7">
        <w:rPr>
          <w:rFonts w:cs="Times New Roman"/>
          <w:szCs w:val="24"/>
          <w:lang w:val="en-US"/>
        </w:rPr>
        <w:t>http</w:t>
      </w:r>
      <w:r w:rsidRPr="00C53FF7">
        <w:rPr>
          <w:rFonts w:cs="Times New Roman"/>
          <w:szCs w:val="24"/>
        </w:rPr>
        <w:t>://</w:t>
      </w:r>
      <w:r w:rsidRPr="00C53FF7">
        <w:rPr>
          <w:rFonts w:cs="Times New Roman"/>
          <w:szCs w:val="24"/>
          <w:lang w:val="en-US"/>
        </w:rPr>
        <w:t>www</w:t>
      </w:r>
      <w:r w:rsidRPr="007524D9">
        <w:t>.</w:t>
      </w:r>
      <w:proofErr w:type="spellStart"/>
      <w:r>
        <w:rPr>
          <w:lang w:val="en-US"/>
        </w:rPr>
        <w:t>primorsky</w:t>
      </w:r>
      <w:proofErr w:type="spellEnd"/>
      <w:r w:rsidRPr="00C61D88">
        <w:t>.</w:t>
      </w:r>
      <w:proofErr w:type="spellStart"/>
      <w:r>
        <w:rPr>
          <w:lang w:val="en-US"/>
        </w:rPr>
        <w:t>ru</w:t>
      </w:r>
      <w:proofErr w:type="spellEnd"/>
    </w:p>
    <w:p w:rsidR="007E422F" w:rsidRDefault="007E422F" w:rsidP="001D7EA9">
      <w:pPr>
        <w:pStyle w:val="a3"/>
        <w:numPr>
          <w:ilvl w:val="0"/>
          <w:numId w:val="2"/>
        </w:numPr>
        <w:spacing w:line="360" w:lineRule="auto"/>
        <w:ind w:left="0" w:firstLine="709"/>
      </w:pPr>
      <w:r w:rsidRPr="00A37CF3">
        <w:t>Петербургский международный экономический форум</w:t>
      </w:r>
      <w:r>
        <w:t xml:space="preserve"> (ПМЭФ) </w:t>
      </w:r>
      <w:r w:rsidRPr="005614DE">
        <w:t>[</w:t>
      </w:r>
      <w:r>
        <w:t>Электронный ресурс</w:t>
      </w:r>
      <w:r w:rsidRPr="005614DE">
        <w:t>]</w:t>
      </w:r>
      <w:r>
        <w:t xml:space="preserve"> </w:t>
      </w:r>
      <w:r w:rsidRPr="00A37CF3">
        <w:t xml:space="preserve">/ </w:t>
      </w:r>
      <w:r>
        <w:t>Фонд «</w:t>
      </w:r>
      <w:proofErr w:type="spellStart"/>
      <w:r>
        <w:t>Росконгресс</w:t>
      </w:r>
      <w:proofErr w:type="spellEnd"/>
      <w:r>
        <w:t>»</w:t>
      </w:r>
      <w:r w:rsidRPr="00A37CF3">
        <w:t>.</w:t>
      </w:r>
      <w:r>
        <w:t xml:space="preserve"> – Режим доступа</w:t>
      </w:r>
      <w:r w:rsidRPr="008B28B1">
        <w:rPr>
          <w:color w:val="000000" w:themeColor="text1"/>
        </w:rPr>
        <w:t xml:space="preserve">: </w:t>
      </w:r>
      <w:r>
        <w:rPr>
          <w:color w:val="000000" w:themeColor="text1"/>
          <w:lang w:val="en-US"/>
        </w:rPr>
        <w:t>http</w:t>
      </w:r>
      <w:r w:rsidRPr="00274A2B">
        <w:rPr>
          <w:color w:val="000000" w:themeColor="text1"/>
        </w:rPr>
        <w:t>://</w:t>
      </w:r>
      <w:hyperlink r:id="rId8" w:history="1">
        <w:r w:rsidRPr="00274A2B">
          <w:rPr>
            <w:rStyle w:val="a5"/>
            <w:color w:val="000000" w:themeColor="text1"/>
            <w:u w:val="none"/>
          </w:rPr>
          <w:t>www.forumspb.com/ru</w:t>
        </w:r>
      </w:hyperlink>
    </w:p>
    <w:p w:rsidR="007E422F" w:rsidRDefault="007E422F" w:rsidP="001D7EA9">
      <w:pPr>
        <w:pStyle w:val="a3"/>
        <w:numPr>
          <w:ilvl w:val="0"/>
          <w:numId w:val="2"/>
        </w:numPr>
        <w:spacing w:line="360" w:lineRule="auto"/>
        <w:ind w:left="0" w:firstLine="709"/>
      </w:pPr>
      <w:r>
        <w:t xml:space="preserve">О </w:t>
      </w:r>
      <w:r w:rsidRPr="008B28B1">
        <w:rPr>
          <w:color w:val="000000" w:themeColor="text1"/>
        </w:rPr>
        <w:t>проекте | 2017 |</w:t>
      </w:r>
      <w:r>
        <w:rPr>
          <w:color w:val="000000" w:themeColor="text1"/>
        </w:rPr>
        <w:t xml:space="preserve"> Конкурс</w:t>
      </w:r>
      <w:r w:rsidRPr="008B28B1">
        <w:rPr>
          <w:color w:val="000000" w:themeColor="text1"/>
        </w:rPr>
        <w:t xml:space="preserve"> </w:t>
      </w:r>
      <w:r>
        <w:rPr>
          <w:color w:val="000000" w:themeColor="text1"/>
        </w:rPr>
        <w:t>«</w:t>
      </w:r>
      <w:r>
        <w:t xml:space="preserve">Проектный Олимп» </w:t>
      </w:r>
      <w:r w:rsidRPr="008B28B1">
        <w:t>[</w:t>
      </w:r>
      <w:r>
        <w:t>Электронный ресурс</w:t>
      </w:r>
      <w:r w:rsidRPr="008B28B1">
        <w:t>]</w:t>
      </w:r>
      <w:r>
        <w:t xml:space="preserve"> / Аналитический центр при Правительстве Российской Федерации. – Режим доступа</w:t>
      </w:r>
      <w:r w:rsidRPr="00FE44BD">
        <w:t>:</w:t>
      </w:r>
      <w:r>
        <w:t xml:space="preserve"> </w:t>
      </w:r>
      <w:r w:rsidRPr="00C53FF7">
        <w:rPr>
          <w:rFonts w:cs="Times New Roman"/>
          <w:szCs w:val="24"/>
          <w:lang w:val="en-US"/>
        </w:rPr>
        <w:t>http</w:t>
      </w:r>
      <w:r w:rsidRPr="00C53FF7">
        <w:rPr>
          <w:rFonts w:cs="Times New Roman"/>
          <w:szCs w:val="24"/>
        </w:rPr>
        <w:t>://</w:t>
      </w:r>
      <w:r w:rsidRPr="00C53FF7">
        <w:rPr>
          <w:rFonts w:cs="Times New Roman"/>
          <w:szCs w:val="24"/>
          <w:lang w:val="en-US"/>
        </w:rPr>
        <w:t>www</w:t>
      </w:r>
      <w:r w:rsidRPr="007524D9">
        <w:t>.</w:t>
      </w:r>
      <w:proofErr w:type="spellStart"/>
      <w:r>
        <w:rPr>
          <w:lang w:val="en-US"/>
        </w:rPr>
        <w:t>pmolimp</w:t>
      </w:r>
      <w:proofErr w:type="spellEnd"/>
      <w:r w:rsidRPr="00FE44BD">
        <w:t>.</w:t>
      </w:r>
      <w:proofErr w:type="spellStart"/>
      <w:r>
        <w:rPr>
          <w:lang w:val="en-US"/>
        </w:rPr>
        <w:t>ru</w:t>
      </w:r>
      <w:proofErr w:type="spellEnd"/>
      <w:r w:rsidRPr="00FE44BD">
        <w:t xml:space="preserve"> </w:t>
      </w:r>
    </w:p>
    <w:p w:rsidR="00274A2B" w:rsidRPr="00202D0C" w:rsidRDefault="00274A2B" w:rsidP="00274A2B">
      <w:pPr>
        <w:ind w:firstLine="0"/>
      </w:pPr>
    </w:p>
    <w:p w:rsidR="0058331A" w:rsidRDefault="00274A2B" w:rsidP="00E16639">
      <w:pPr>
        <w:spacing w:line="240" w:lineRule="auto"/>
        <w:ind w:firstLine="0"/>
        <w:jc w:val="center"/>
        <w:rPr>
          <w:b/>
        </w:rPr>
      </w:pPr>
      <w:r w:rsidRPr="00274A2B">
        <w:rPr>
          <w:b/>
        </w:rPr>
        <w:t>Информация об авторе</w:t>
      </w:r>
    </w:p>
    <w:p w:rsidR="00274A2B" w:rsidRDefault="00274A2B" w:rsidP="00274A2B">
      <w:pPr>
        <w:pStyle w:val="a3"/>
        <w:ind w:left="0"/>
        <w:rPr>
          <w:rStyle w:val="a5"/>
          <w:rFonts w:cs="Times New Roman"/>
          <w:color w:val="000000" w:themeColor="text1"/>
          <w:szCs w:val="24"/>
          <w:u w:val="none"/>
        </w:rPr>
      </w:pPr>
      <w:r>
        <w:rPr>
          <w:rStyle w:val="a5"/>
          <w:rFonts w:cs="Times New Roman"/>
          <w:color w:val="000000" w:themeColor="text1"/>
          <w:szCs w:val="24"/>
          <w:u w:val="none"/>
        </w:rPr>
        <w:t>Куцый Никита Владимирович</w:t>
      </w:r>
      <w:r w:rsidRPr="00274A2B">
        <w:rPr>
          <w:rStyle w:val="a5"/>
          <w:rFonts w:cs="Times New Roman"/>
          <w:color w:val="000000" w:themeColor="text1"/>
          <w:szCs w:val="24"/>
          <w:u w:val="none"/>
        </w:rPr>
        <w:t xml:space="preserve"> – </w:t>
      </w:r>
      <w:r>
        <w:rPr>
          <w:rStyle w:val="a5"/>
          <w:rFonts w:cs="Times New Roman"/>
          <w:color w:val="000000" w:themeColor="text1"/>
          <w:szCs w:val="24"/>
          <w:u w:val="none"/>
        </w:rPr>
        <w:t>студент кафедры менеджмента</w:t>
      </w:r>
      <w:r w:rsidRPr="00274A2B">
        <w:rPr>
          <w:rStyle w:val="a5"/>
          <w:rFonts w:cs="Times New Roman"/>
          <w:color w:val="000000" w:themeColor="text1"/>
          <w:szCs w:val="24"/>
          <w:u w:val="none"/>
        </w:rPr>
        <w:t xml:space="preserve">, </w:t>
      </w:r>
      <w:r>
        <w:rPr>
          <w:rStyle w:val="a5"/>
          <w:rFonts w:cs="Times New Roman"/>
          <w:color w:val="000000" w:themeColor="text1"/>
          <w:szCs w:val="24"/>
          <w:u w:val="none"/>
        </w:rPr>
        <w:t>Дальневосточный Федеральный Университет</w:t>
      </w:r>
      <w:r w:rsidRPr="00274A2B">
        <w:rPr>
          <w:rStyle w:val="a5"/>
          <w:rFonts w:cs="Times New Roman"/>
          <w:color w:val="000000" w:themeColor="text1"/>
          <w:szCs w:val="24"/>
          <w:u w:val="none"/>
        </w:rPr>
        <w:t xml:space="preserve"> (</w:t>
      </w:r>
      <w:r w:rsidR="00E16639" w:rsidRPr="00E16639">
        <w:rPr>
          <w:rStyle w:val="a5"/>
          <w:rFonts w:cs="Times New Roman"/>
          <w:color w:val="000000" w:themeColor="text1"/>
          <w:szCs w:val="24"/>
          <w:u w:val="none"/>
        </w:rPr>
        <w:t>690091 г. Владивосток, ул. Суханова, 8</w:t>
      </w:r>
      <w:r w:rsidRPr="00274A2B">
        <w:rPr>
          <w:rStyle w:val="a5"/>
          <w:rFonts w:cs="Times New Roman"/>
          <w:color w:val="000000" w:themeColor="text1"/>
          <w:szCs w:val="24"/>
          <w:u w:val="none"/>
        </w:rPr>
        <w:t xml:space="preserve">, </w:t>
      </w:r>
      <w:hyperlink r:id="rId9" w:history="1">
        <w:r w:rsidR="00E16639" w:rsidRPr="00E16639">
          <w:rPr>
            <w:rStyle w:val="a5"/>
            <w:rFonts w:cs="Times New Roman"/>
            <w:color w:val="000000" w:themeColor="text1"/>
            <w:szCs w:val="24"/>
            <w:u w:val="none"/>
            <w:lang w:val="en-US"/>
          </w:rPr>
          <w:t>kutcyi.nikita@gmail.com</w:t>
        </w:r>
      </w:hyperlink>
      <w:r w:rsidR="00E16639">
        <w:rPr>
          <w:rStyle w:val="a5"/>
          <w:rFonts w:cs="Times New Roman"/>
          <w:color w:val="000000" w:themeColor="text1"/>
          <w:szCs w:val="24"/>
          <w:u w:val="none"/>
        </w:rPr>
        <w:t>)</w:t>
      </w:r>
    </w:p>
    <w:p w:rsidR="00E16639" w:rsidRDefault="00E16639" w:rsidP="00274A2B">
      <w:pPr>
        <w:pStyle w:val="a3"/>
        <w:ind w:left="0"/>
        <w:rPr>
          <w:rStyle w:val="a5"/>
          <w:rFonts w:cs="Times New Roman"/>
          <w:color w:val="000000" w:themeColor="text1"/>
          <w:szCs w:val="24"/>
          <w:u w:val="none"/>
        </w:rPr>
      </w:pPr>
    </w:p>
    <w:p w:rsidR="00857A48" w:rsidRDefault="00857A48" w:rsidP="00274A2B">
      <w:pPr>
        <w:pStyle w:val="a3"/>
        <w:ind w:left="0"/>
        <w:rPr>
          <w:rStyle w:val="a5"/>
          <w:rFonts w:cs="Times New Roman"/>
          <w:color w:val="000000" w:themeColor="text1"/>
          <w:szCs w:val="24"/>
          <w:u w:val="none"/>
        </w:rPr>
      </w:pPr>
    </w:p>
    <w:p w:rsidR="00857A48" w:rsidRDefault="00857A48" w:rsidP="00274A2B">
      <w:pPr>
        <w:pStyle w:val="a3"/>
        <w:ind w:left="0"/>
        <w:rPr>
          <w:rStyle w:val="a5"/>
          <w:rFonts w:cs="Times New Roman"/>
          <w:color w:val="000000" w:themeColor="text1"/>
          <w:szCs w:val="24"/>
          <w:u w:val="none"/>
        </w:rPr>
      </w:pPr>
    </w:p>
    <w:p w:rsidR="00857A48" w:rsidRDefault="00857A48" w:rsidP="00274A2B">
      <w:pPr>
        <w:pStyle w:val="a3"/>
        <w:ind w:left="0"/>
        <w:rPr>
          <w:rStyle w:val="a5"/>
          <w:rFonts w:cs="Times New Roman"/>
          <w:color w:val="000000" w:themeColor="text1"/>
          <w:szCs w:val="24"/>
          <w:u w:val="none"/>
        </w:rPr>
      </w:pPr>
    </w:p>
    <w:p w:rsidR="00E16639" w:rsidRDefault="00E16639" w:rsidP="00857A48">
      <w:pPr>
        <w:pStyle w:val="a3"/>
        <w:spacing w:line="360" w:lineRule="auto"/>
        <w:ind w:left="0" w:firstLine="0"/>
        <w:jc w:val="right"/>
        <w:rPr>
          <w:rStyle w:val="a5"/>
          <w:rFonts w:cs="Times New Roman"/>
          <w:color w:val="000000" w:themeColor="text1"/>
          <w:szCs w:val="24"/>
          <w:u w:val="none"/>
          <w:lang w:val="en-US"/>
        </w:rPr>
      </w:pPr>
      <w:proofErr w:type="spellStart"/>
      <w:r w:rsidRPr="00E16639">
        <w:rPr>
          <w:rStyle w:val="a5"/>
          <w:rFonts w:cs="Times New Roman"/>
          <w:b/>
          <w:color w:val="000000" w:themeColor="text1"/>
          <w:szCs w:val="24"/>
          <w:u w:val="none"/>
          <w:lang w:val="en-US"/>
        </w:rPr>
        <w:t>Kutcyi</w:t>
      </w:r>
      <w:proofErr w:type="spellEnd"/>
      <w:r w:rsidRPr="00E16639">
        <w:rPr>
          <w:rStyle w:val="a5"/>
          <w:rFonts w:cs="Times New Roman"/>
          <w:b/>
          <w:color w:val="000000" w:themeColor="text1"/>
          <w:szCs w:val="24"/>
          <w:u w:val="none"/>
          <w:lang w:val="en-US"/>
        </w:rPr>
        <w:t>. N.V</w:t>
      </w:r>
      <w:r>
        <w:rPr>
          <w:rStyle w:val="a5"/>
          <w:rFonts w:cs="Times New Roman"/>
          <w:color w:val="000000" w:themeColor="text1"/>
          <w:szCs w:val="24"/>
          <w:u w:val="none"/>
          <w:lang w:val="en-US"/>
        </w:rPr>
        <w:t>.</w:t>
      </w:r>
    </w:p>
    <w:p w:rsidR="00E16639" w:rsidRDefault="00E24DEF" w:rsidP="00857A48">
      <w:pPr>
        <w:pStyle w:val="a3"/>
        <w:spacing w:line="360" w:lineRule="auto"/>
        <w:ind w:left="0" w:firstLine="0"/>
        <w:jc w:val="center"/>
        <w:rPr>
          <w:rStyle w:val="a5"/>
          <w:rFonts w:cs="Times New Roman"/>
          <w:b/>
          <w:color w:val="000000" w:themeColor="text1"/>
          <w:szCs w:val="24"/>
          <w:u w:val="none"/>
          <w:lang w:val="en-US"/>
        </w:rPr>
      </w:pPr>
      <w:r w:rsidRPr="00E24DEF">
        <w:rPr>
          <w:rStyle w:val="a5"/>
          <w:rFonts w:cs="Times New Roman"/>
          <w:b/>
          <w:color w:val="000000" w:themeColor="text1"/>
          <w:szCs w:val="24"/>
          <w:u w:val="none"/>
          <w:lang w:val="en-US"/>
        </w:rPr>
        <w:t>PROJECT OFFICE AS A TOOL TO INCREASE THE EFFICIENCY OF THE STATE AND MUNICIPAL GOVERNANCE OF THE REGION</w:t>
      </w:r>
    </w:p>
    <w:p w:rsidR="00E24DEF" w:rsidRPr="00E24DEF" w:rsidRDefault="00E24DEF" w:rsidP="0032696D">
      <w:pPr>
        <w:pStyle w:val="a3"/>
        <w:spacing w:line="360" w:lineRule="auto"/>
        <w:ind w:left="0"/>
        <w:rPr>
          <w:rStyle w:val="a5"/>
          <w:rFonts w:cs="Times New Roman"/>
          <w:color w:val="000000" w:themeColor="text1"/>
          <w:szCs w:val="24"/>
          <w:u w:val="none"/>
          <w:lang w:val="en-US"/>
        </w:rPr>
      </w:pPr>
      <w:r w:rsidRPr="00E24DEF">
        <w:rPr>
          <w:rStyle w:val="a5"/>
          <w:rFonts w:cs="Times New Roman"/>
          <w:b/>
          <w:color w:val="000000" w:themeColor="text1"/>
          <w:szCs w:val="24"/>
          <w:u w:val="none"/>
          <w:lang w:val="en-US"/>
        </w:rPr>
        <w:t>Abstract:</w:t>
      </w:r>
      <w:r w:rsidRPr="00E24DEF">
        <w:rPr>
          <w:rStyle w:val="a5"/>
          <w:rFonts w:cs="Times New Roman"/>
          <w:color w:val="000000" w:themeColor="text1"/>
          <w:szCs w:val="24"/>
          <w:u w:val="none"/>
          <w:lang w:val="en-US"/>
        </w:rPr>
        <w:t xml:space="preserve"> </w:t>
      </w:r>
      <w:r>
        <w:rPr>
          <w:rStyle w:val="a5"/>
          <w:rFonts w:cs="Times New Roman"/>
          <w:color w:val="000000" w:themeColor="text1"/>
          <w:szCs w:val="24"/>
          <w:u w:val="none"/>
          <w:lang w:val="en-US"/>
        </w:rPr>
        <w:t>t</w:t>
      </w:r>
      <w:r w:rsidRPr="00E24DEF">
        <w:rPr>
          <w:rStyle w:val="a5"/>
          <w:rFonts w:cs="Times New Roman"/>
          <w:color w:val="000000" w:themeColor="text1"/>
          <w:szCs w:val="24"/>
          <w:u w:val="none"/>
          <w:lang w:val="en-US"/>
        </w:rPr>
        <w:t>he article considers such a body of government as the project office and analyzes the development of project offices in Russia. The feasibility of creating design offices is proved on the example of the Belgorod project office.</w:t>
      </w:r>
    </w:p>
    <w:p w:rsidR="00E24DEF" w:rsidRDefault="00E24DEF" w:rsidP="0032696D">
      <w:pPr>
        <w:pStyle w:val="a3"/>
        <w:spacing w:line="360" w:lineRule="auto"/>
        <w:ind w:left="0"/>
        <w:rPr>
          <w:rStyle w:val="a5"/>
          <w:rFonts w:cs="Times New Roman"/>
          <w:color w:val="000000" w:themeColor="text1"/>
          <w:szCs w:val="24"/>
          <w:u w:val="none"/>
          <w:lang w:val="en-US"/>
        </w:rPr>
      </w:pPr>
      <w:r w:rsidRPr="00E24DEF">
        <w:rPr>
          <w:rStyle w:val="a5"/>
          <w:rFonts w:cs="Times New Roman"/>
          <w:b/>
          <w:color w:val="000000" w:themeColor="text1"/>
          <w:szCs w:val="24"/>
          <w:u w:val="none"/>
          <w:lang w:val="en-US"/>
        </w:rPr>
        <w:t>Keywords:</w:t>
      </w:r>
      <w:r w:rsidRPr="00E24DEF">
        <w:rPr>
          <w:rStyle w:val="a5"/>
          <w:rFonts w:cs="Times New Roman"/>
          <w:color w:val="000000" w:themeColor="text1"/>
          <w:szCs w:val="24"/>
          <w:u w:val="none"/>
          <w:lang w:val="en-US"/>
        </w:rPr>
        <w:t xml:space="preserve"> </w:t>
      </w:r>
      <w:r w:rsidR="00B769F8">
        <w:rPr>
          <w:rStyle w:val="a5"/>
          <w:rFonts w:cs="Times New Roman"/>
          <w:color w:val="000000" w:themeColor="text1"/>
          <w:szCs w:val="24"/>
          <w:u w:val="none"/>
          <w:lang w:val="en-US"/>
        </w:rPr>
        <w:t>project activity; p</w:t>
      </w:r>
      <w:r w:rsidR="00B769F8" w:rsidRPr="00B769F8">
        <w:rPr>
          <w:rStyle w:val="a5"/>
          <w:rFonts w:cs="Times New Roman"/>
          <w:color w:val="000000" w:themeColor="text1"/>
          <w:szCs w:val="24"/>
          <w:u w:val="none"/>
          <w:lang w:val="en-US"/>
        </w:rPr>
        <w:t>roject office; public administration; Belgorod region.</w:t>
      </w:r>
    </w:p>
    <w:p w:rsidR="0032696D" w:rsidRDefault="0032696D" w:rsidP="0032696D">
      <w:pPr>
        <w:pStyle w:val="a3"/>
        <w:spacing w:line="360" w:lineRule="auto"/>
        <w:ind w:left="0"/>
        <w:rPr>
          <w:rStyle w:val="a5"/>
          <w:rFonts w:cs="Times New Roman"/>
          <w:color w:val="000000" w:themeColor="text1"/>
          <w:szCs w:val="24"/>
          <w:u w:val="none"/>
          <w:lang w:val="en-US"/>
        </w:rPr>
      </w:pPr>
    </w:p>
    <w:p w:rsidR="00B769F8" w:rsidRPr="00B769F8" w:rsidRDefault="00B769F8" w:rsidP="0032696D">
      <w:pPr>
        <w:pStyle w:val="a3"/>
        <w:spacing w:line="360" w:lineRule="auto"/>
        <w:ind w:left="0" w:firstLine="0"/>
        <w:jc w:val="center"/>
        <w:rPr>
          <w:rStyle w:val="a5"/>
          <w:rFonts w:cs="Times New Roman"/>
          <w:b/>
          <w:color w:val="000000" w:themeColor="text1"/>
          <w:szCs w:val="24"/>
          <w:u w:val="none"/>
          <w:lang w:val="en-US"/>
        </w:rPr>
      </w:pPr>
      <w:r w:rsidRPr="00B769F8">
        <w:rPr>
          <w:rStyle w:val="a5"/>
          <w:rFonts w:cs="Times New Roman"/>
          <w:b/>
          <w:color w:val="000000" w:themeColor="text1"/>
          <w:szCs w:val="24"/>
          <w:u w:val="none"/>
          <w:lang w:val="en-US"/>
        </w:rPr>
        <w:t>Information about the author</w:t>
      </w:r>
    </w:p>
    <w:p w:rsidR="00B769F8" w:rsidRDefault="00B769F8" w:rsidP="0032696D">
      <w:pPr>
        <w:pStyle w:val="a3"/>
        <w:spacing w:line="360" w:lineRule="auto"/>
        <w:ind w:left="0"/>
        <w:rPr>
          <w:rStyle w:val="a5"/>
          <w:rFonts w:cs="Times New Roman"/>
          <w:color w:val="000000" w:themeColor="text1"/>
          <w:szCs w:val="24"/>
          <w:u w:val="none"/>
          <w:lang w:val="en-US"/>
        </w:rPr>
      </w:pPr>
      <w:proofErr w:type="spellStart"/>
      <w:r>
        <w:rPr>
          <w:rFonts w:cs="Times New Roman"/>
          <w:color w:val="000000" w:themeColor="text1"/>
          <w:szCs w:val="24"/>
          <w:lang w:val="en-US"/>
        </w:rPr>
        <w:t>Kutcyi</w:t>
      </w:r>
      <w:proofErr w:type="spellEnd"/>
      <w:r>
        <w:rPr>
          <w:rFonts w:cs="Times New Roman"/>
          <w:color w:val="000000" w:themeColor="text1"/>
          <w:szCs w:val="24"/>
          <w:lang w:val="en-US"/>
        </w:rPr>
        <w:t>, Nikita Vladimirovich – student of the department of m</w:t>
      </w:r>
      <w:r w:rsidRPr="00B769F8">
        <w:rPr>
          <w:rFonts w:cs="Times New Roman"/>
          <w:color w:val="000000" w:themeColor="text1"/>
          <w:szCs w:val="24"/>
          <w:lang w:val="en-US"/>
        </w:rPr>
        <w:t>anagement, Far Eastern Federal University</w:t>
      </w:r>
      <w:r>
        <w:rPr>
          <w:rFonts w:cs="Times New Roman"/>
          <w:color w:val="000000" w:themeColor="text1"/>
          <w:szCs w:val="24"/>
          <w:lang w:val="en-US"/>
        </w:rPr>
        <w:t xml:space="preserve"> (</w:t>
      </w:r>
      <w:r w:rsidRPr="00B769F8">
        <w:rPr>
          <w:rStyle w:val="a5"/>
          <w:rFonts w:cs="Times New Roman"/>
          <w:color w:val="000000" w:themeColor="text1"/>
          <w:szCs w:val="24"/>
          <w:u w:val="none"/>
          <w:lang w:val="en-US"/>
        </w:rPr>
        <w:t>690091</w:t>
      </w:r>
      <w:r>
        <w:rPr>
          <w:rStyle w:val="a5"/>
          <w:rFonts w:cs="Times New Roman"/>
          <w:color w:val="000000" w:themeColor="text1"/>
          <w:szCs w:val="24"/>
          <w:u w:val="none"/>
          <w:lang w:val="en-US"/>
        </w:rPr>
        <w:t xml:space="preserve"> </w:t>
      </w:r>
      <w:r w:rsidR="000D0926">
        <w:rPr>
          <w:rStyle w:val="a5"/>
          <w:rFonts w:cs="Times New Roman"/>
          <w:color w:val="000000" w:themeColor="text1"/>
          <w:szCs w:val="24"/>
          <w:u w:val="none"/>
          <w:lang w:val="en-US"/>
        </w:rPr>
        <w:t xml:space="preserve">Vladivostok, </w:t>
      </w:r>
      <w:proofErr w:type="spellStart"/>
      <w:r w:rsidR="000D0926">
        <w:rPr>
          <w:rStyle w:val="a5"/>
          <w:rFonts w:cs="Times New Roman"/>
          <w:color w:val="000000" w:themeColor="text1"/>
          <w:szCs w:val="24"/>
          <w:u w:val="none"/>
          <w:lang w:val="en-US"/>
        </w:rPr>
        <w:t>Sukhanova</w:t>
      </w:r>
      <w:proofErr w:type="spellEnd"/>
      <w:r w:rsidR="000D0926">
        <w:rPr>
          <w:rStyle w:val="a5"/>
          <w:rFonts w:cs="Times New Roman"/>
          <w:color w:val="000000" w:themeColor="text1"/>
          <w:szCs w:val="24"/>
          <w:u w:val="none"/>
          <w:lang w:val="en-US"/>
        </w:rPr>
        <w:t xml:space="preserve"> str., 8, </w:t>
      </w:r>
      <w:hyperlink r:id="rId10" w:history="1">
        <w:r w:rsidR="000D0926" w:rsidRPr="00E16639">
          <w:rPr>
            <w:rStyle w:val="a5"/>
            <w:rFonts w:cs="Times New Roman"/>
            <w:color w:val="000000" w:themeColor="text1"/>
            <w:szCs w:val="24"/>
            <w:u w:val="none"/>
            <w:lang w:val="en-US"/>
          </w:rPr>
          <w:t>kutcyi.nikita@gmail.com</w:t>
        </w:r>
      </w:hyperlink>
      <w:r w:rsidR="000D0926">
        <w:rPr>
          <w:rStyle w:val="a5"/>
          <w:rFonts w:cs="Times New Roman"/>
          <w:color w:val="000000" w:themeColor="text1"/>
          <w:szCs w:val="24"/>
          <w:u w:val="none"/>
          <w:lang w:val="en-US"/>
        </w:rPr>
        <w:t>)</w:t>
      </w:r>
    </w:p>
    <w:p w:rsidR="00893CE3" w:rsidRDefault="00893CE3" w:rsidP="00B769F8">
      <w:pPr>
        <w:pStyle w:val="a3"/>
        <w:ind w:left="0"/>
        <w:rPr>
          <w:rStyle w:val="a5"/>
          <w:rFonts w:cs="Times New Roman"/>
          <w:color w:val="000000" w:themeColor="text1"/>
          <w:szCs w:val="24"/>
          <w:u w:val="none"/>
          <w:lang w:val="en-US"/>
        </w:rPr>
      </w:pPr>
    </w:p>
    <w:p w:rsidR="00893CE3" w:rsidRPr="00893CE3" w:rsidRDefault="00893CE3" w:rsidP="00893CE3">
      <w:pPr>
        <w:pStyle w:val="a3"/>
        <w:ind w:left="0" w:firstLine="0"/>
        <w:jc w:val="center"/>
        <w:rPr>
          <w:rFonts w:cs="Times New Roman"/>
          <w:color w:val="000000" w:themeColor="text1"/>
          <w:szCs w:val="24"/>
          <w:lang w:val="en-US"/>
        </w:rPr>
      </w:pPr>
      <w:r w:rsidRPr="00893CE3">
        <w:rPr>
          <w:rStyle w:val="a5"/>
          <w:rFonts w:cs="Times New Roman"/>
          <w:b/>
          <w:color w:val="000000" w:themeColor="text1"/>
          <w:szCs w:val="24"/>
          <w:u w:val="none"/>
          <w:lang w:val="en-US"/>
        </w:rPr>
        <w:t>References</w:t>
      </w:r>
    </w:p>
    <w:p w:rsidR="00893CE3" w:rsidRPr="00DC243B" w:rsidRDefault="00893CE3" w:rsidP="00CE2D58">
      <w:pPr>
        <w:pStyle w:val="a3"/>
        <w:numPr>
          <w:ilvl w:val="0"/>
          <w:numId w:val="3"/>
        </w:numPr>
        <w:spacing w:line="360" w:lineRule="auto"/>
        <w:ind w:left="0" w:firstLine="709"/>
        <w:rPr>
          <w:lang w:val="en-US"/>
        </w:rPr>
      </w:pPr>
      <w:proofErr w:type="spellStart"/>
      <w:r>
        <w:rPr>
          <w:lang w:val="en-US"/>
        </w:rPr>
        <w:t>Belyaev</w:t>
      </w:r>
      <w:proofErr w:type="spellEnd"/>
      <w:r w:rsidRPr="00DC243B">
        <w:rPr>
          <w:lang w:val="en-US"/>
        </w:rPr>
        <w:t xml:space="preserve">, </w:t>
      </w:r>
      <w:r>
        <w:rPr>
          <w:lang w:val="en-US"/>
        </w:rPr>
        <w:t>V</w:t>
      </w:r>
      <w:r w:rsidRPr="00DC243B">
        <w:rPr>
          <w:lang w:val="en-US"/>
        </w:rPr>
        <w:t>.</w:t>
      </w:r>
      <w:r>
        <w:rPr>
          <w:lang w:val="en-US"/>
        </w:rPr>
        <w:t>V</w:t>
      </w:r>
      <w:r w:rsidRPr="00DC243B">
        <w:rPr>
          <w:lang w:val="en-US"/>
        </w:rPr>
        <w:t xml:space="preserve">. </w:t>
      </w:r>
      <w:r>
        <w:rPr>
          <w:lang w:val="en-US"/>
        </w:rPr>
        <w:t>Project</w:t>
      </w:r>
      <w:r w:rsidRPr="00DC243B">
        <w:rPr>
          <w:lang w:val="en-US"/>
        </w:rPr>
        <w:t xml:space="preserve"> </w:t>
      </w:r>
      <w:r>
        <w:rPr>
          <w:lang w:val="en-US"/>
        </w:rPr>
        <w:t>management</w:t>
      </w:r>
      <w:r w:rsidRPr="00DC243B">
        <w:rPr>
          <w:lang w:val="en-US"/>
        </w:rPr>
        <w:t xml:space="preserve">: </w:t>
      </w:r>
      <w:r w:rsidR="00F33950">
        <w:rPr>
          <w:lang w:val="en-US"/>
        </w:rPr>
        <w:t>development</w:t>
      </w:r>
      <w:r w:rsidR="00F33950" w:rsidRPr="00DC243B">
        <w:rPr>
          <w:lang w:val="en-US"/>
        </w:rPr>
        <w:t xml:space="preserve">, </w:t>
      </w:r>
      <w:r w:rsidR="00F33950" w:rsidRPr="00F33950">
        <w:rPr>
          <w:lang w:val="en-US"/>
        </w:rPr>
        <w:t>features</w:t>
      </w:r>
      <w:r w:rsidR="00F33950" w:rsidRPr="00DC243B">
        <w:rPr>
          <w:lang w:val="en-US"/>
        </w:rPr>
        <w:t xml:space="preserve">, </w:t>
      </w:r>
      <w:r w:rsidR="00F33950" w:rsidRPr="00F33950">
        <w:rPr>
          <w:lang w:val="en-US"/>
        </w:rPr>
        <w:t>distinctive</w:t>
      </w:r>
      <w:r w:rsidR="00F33950" w:rsidRPr="00DC243B">
        <w:rPr>
          <w:lang w:val="en-US"/>
        </w:rPr>
        <w:t xml:space="preserve"> </w:t>
      </w:r>
      <w:r w:rsidR="00F33950" w:rsidRPr="00F33950">
        <w:rPr>
          <w:lang w:val="en-US"/>
        </w:rPr>
        <w:t>features</w:t>
      </w:r>
      <w:r w:rsidR="00F33950" w:rsidRPr="00DC243B">
        <w:rPr>
          <w:lang w:val="en-US"/>
        </w:rPr>
        <w:t xml:space="preserve"> </w:t>
      </w:r>
      <w:r w:rsidRPr="00DC243B">
        <w:rPr>
          <w:lang w:val="en-US"/>
        </w:rPr>
        <w:t>/</w:t>
      </w:r>
      <w:r w:rsidR="00DC243B">
        <w:rPr>
          <w:lang w:val="en-US"/>
        </w:rPr>
        <w:t>V</w:t>
      </w:r>
      <w:r w:rsidR="00DC243B" w:rsidRPr="00DC243B">
        <w:rPr>
          <w:lang w:val="en-US"/>
        </w:rPr>
        <w:t>.</w:t>
      </w:r>
      <w:r w:rsidR="00DC243B">
        <w:rPr>
          <w:lang w:val="en-US"/>
        </w:rPr>
        <w:t>V</w:t>
      </w:r>
      <w:r w:rsidR="00DC243B" w:rsidRPr="00DC243B">
        <w:rPr>
          <w:lang w:val="en-US"/>
        </w:rPr>
        <w:t xml:space="preserve">. </w:t>
      </w:r>
      <w:proofErr w:type="spellStart"/>
      <w:r w:rsidR="00DC243B">
        <w:rPr>
          <w:lang w:val="en-US"/>
        </w:rPr>
        <w:t>Belyaev</w:t>
      </w:r>
      <w:proofErr w:type="spellEnd"/>
      <w:r w:rsidRPr="00DC243B">
        <w:rPr>
          <w:lang w:val="en-US"/>
        </w:rPr>
        <w:t xml:space="preserve"> // </w:t>
      </w:r>
      <w:r w:rsidR="00DC243B" w:rsidRPr="00DC243B">
        <w:rPr>
          <w:lang w:val="en-US"/>
        </w:rPr>
        <w:t>Formation and implementation of the strategy of sustainable economic development of the Russian Federation: a collection of articles of the IV International Scientific and Practical Conference</w:t>
      </w:r>
      <w:r w:rsidRPr="00DC243B">
        <w:rPr>
          <w:lang w:val="en-US"/>
        </w:rPr>
        <w:t xml:space="preserve"> /</w:t>
      </w:r>
      <w:r w:rsidR="00DC243B" w:rsidRPr="00CE2D58">
        <w:rPr>
          <w:lang w:val="en-US"/>
        </w:rPr>
        <w:t xml:space="preserve"> </w:t>
      </w:r>
      <w:r w:rsidR="00DC243B" w:rsidRPr="00DC243B">
        <w:rPr>
          <w:lang w:val="en-US"/>
        </w:rPr>
        <w:t>edited by</w:t>
      </w:r>
      <w:r w:rsidRPr="00DC243B">
        <w:rPr>
          <w:lang w:val="en-US"/>
        </w:rPr>
        <w:t xml:space="preserve"> </w:t>
      </w:r>
      <w:r w:rsidR="00CE2D58">
        <w:rPr>
          <w:lang w:val="en-US"/>
        </w:rPr>
        <w:t>B.Y.</w:t>
      </w:r>
      <w:r w:rsidRPr="00DC243B">
        <w:rPr>
          <w:lang w:val="en-US"/>
        </w:rPr>
        <w:t xml:space="preserve"> </w:t>
      </w:r>
      <w:proofErr w:type="spellStart"/>
      <w:r w:rsidR="00CE2D58">
        <w:rPr>
          <w:lang w:val="en-US"/>
        </w:rPr>
        <w:t>Tatarskikh</w:t>
      </w:r>
      <w:proofErr w:type="spellEnd"/>
      <w:r w:rsidRPr="00DC243B">
        <w:rPr>
          <w:lang w:val="en-US"/>
        </w:rPr>
        <w:t xml:space="preserve">, </w:t>
      </w:r>
      <w:r w:rsidR="00CE2D58">
        <w:rPr>
          <w:lang w:val="en-US"/>
        </w:rPr>
        <w:t xml:space="preserve">O.V. </w:t>
      </w:r>
      <w:proofErr w:type="spellStart"/>
      <w:r w:rsidR="00CE2D58">
        <w:rPr>
          <w:lang w:val="en-US"/>
        </w:rPr>
        <w:t>Fedorova</w:t>
      </w:r>
      <w:proofErr w:type="spellEnd"/>
      <w:r w:rsidRPr="00DC243B">
        <w:rPr>
          <w:lang w:val="en-US"/>
        </w:rPr>
        <w:t xml:space="preserve">, 2014. – </w:t>
      </w:r>
      <w:r w:rsidR="00CE2D58">
        <w:rPr>
          <w:lang w:val="en-US"/>
        </w:rPr>
        <w:t>p</w:t>
      </w:r>
      <w:r w:rsidRPr="00DC243B">
        <w:rPr>
          <w:lang w:val="en-US"/>
        </w:rPr>
        <w:t>. 14–24.</w:t>
      </w:r>
    </w:p>
    <w:p w:rsidR="00893CE3" w:rsidRPr="001D3F20" w:rsidRDefault="001D3F20" w:rsidP="009E5592">
      <w:pPr>
        <w:pStyle w:val="a3"/>
        <w:numPr>
          <w:ilvl w:val="0"/>
          <w:numId w:val="3"/>
        </w:numPr>
        <w:spacing w:line="360" w:lineRule="auto"/>
        <w:ind w:left="0" w:firstLine="709"/>
        <w:rPr>
          <w:lang w:val="en-US"/>
        </w:rPr>
      </w:pPr>
      <w:r w:rsidRPr="001D3F20">
        <w:rPr>
          <w:lang w:val="en-US"/>
        </w:rPr>
        <w:t xml:space="preserve">State strategic management: monograph </w:t>
      </w:r>
      <w:r w:rsidR="00893CE3" w:rsidRPr="001D3F20">
        <w:rPr>
          <w:lang w:val="en-US"/>
        </w:rPr>
        <w:t xml:space="preserve">/ </w:t>
      </w:r>
      <w:r>
        <w:rPr>
          <w:lang w:val="en-US"/>
        </w:rPr>
        <w:t>edited by</w:t>
      </w:r>
      <w:r w:rsidR="00893CE3" w:rsidRPr="001D3F20">
        <w:rPr>
          <w:lang w:val="en-US"/>
        </w:rPr>
        <w:t xml:space="preserve"> </w:t>
      </w:r>
      <w:r>
        <w:rPr>
          <w:lang w:val="en-US"/>
        </w:rPr>
        <w:t>Y.V.</w:t>
      </w:r>
      <w:r w:rsidR="00893CE3" w:rsidRPr="001D3F20">
        <w:rPr>
          <w:lang w:val="en-US"/>
        </w:rPr>
        <w:t xml:space="preserve"> </w:t>
      </w:r>
      <w:proofErr w:type="spellStart"/>
      <w:r>
        <w:rPr>
          <w:lang w:val="en-US"/>
        </w:rPr>
        <w:t>Kuzhetcova</w:t>
      </w:r>
      <w:proofErr w:type="spellEnd"/>
      <w:r w:rsidR="00893CE3" w:rsidRPr="001D3F20">
        <w:rPr>
          <w:lang w:val="en-US"/>
        </w:rPr>
        <w:t xml:space="preserve">. – </w:t>
      </w:r>
      <w:proofErr w:type="spellStart"/>
      <w:r w:rsidRPr="001D3F20">
        <w:rPr>
          <w:lang w:val="en-US"/>
        </w:rPr>
        <w:t>S</w:t>
      </w:r>
      <w:r>
        <w:rPr>
          <w:lang w:val="en-US"/>
        </w:rPr>
        <w:t>pB</w:t>
      </w:r>
      <w:proofErr w:type="spellEnd"/>
      <w:r w:rsidR="00893CE3" w:rsidRPr="001D3F20">
        <w:rPr>
          <w:lang w:val="en-US"/>
        </w:rPr>
        <w:t xml:space="preserve">.: </w:t>
      </w:r>
      <w:proofErr w:type="spellStart"/>
      <w:r w:rsidRPr="001D3F20">
        <w:rPr>
          <w:lang w:val="en-US"/>
        </w:rPr>
        <w:t>Piter</w:t>
      </w:r>
      <w:proofErr w:type="spellEnd"/>
      <w:r w:rsidR="00893CE3" w:rsidRPr="001D3F20">
        <w:rPr>
          <w:lang w:val="en-US"/>
        </w:rPr>
        <w:t xml:space="preserve">, 2014. – 320 </w:t>
      </w:r>
      <w:r w:rsidRPr="001D3F20">
        <w:rPr>
          <w:lang w:val="en-US"/>
        </w:rPr>
        <w:t>p</w:t>
      </w:r>
      <w:r w:rsidR="00893CE3" w:rsidRPr="001D3F20">
        <w:rPr>
          <w:lang w:val="en-US"/>
        </w:rPr>
        <w:t>.</w:t>
      </w:r>
    </w:p>
    <w:p w:rsidR="00893CE3" w:rsidRPr="001D3F20" w:rsidRDefault="001D3F20" w:rsidP="009E5592">
      <w:pPr>
        <w:pStyle w:val="a3"/>
        <w:numPr>
          <w:ilvl w:val="0"/>
          <w:numId w:val="3"/>
        </w:numPr>
        <w:spacing w:line="360" w:lineRule="auto"/>
        <w:ind w:left="0" w:firstLine="709"/>
        <w:rPr>
          <w:lang w:val="en-US"/>
        </w:rPr>
      </w:pPr>
      <w:proofErr w:type="spellStart"/>
      <w:r w:rsidRPr="001D3F20">
        <w:rPr>
          <w:lang w:val="en-US"/>
        </w:rPr>
        <w:t>Zabaikalsky</w:t>
      </w:r>
      <w:proofErr w:type="spellEnd"/>
      <w:r w:rsidRPr="001D3F20">
        <w:rPr>
          <w:lang w:val="en-US"/>
        </w:rPr>
        <w:t xml:space="preserve"> investment portal / Administration of the Trans-Baikal Territory</w:t>
      </w:r>
      <w:r w:rsidR="00893CE3" w:rsidRPr="001D3F20">
        <w:rPr>
          <w:lang w:val="en-US"/>
        </w:rPr>
        <w:t xml:space="preserve">. – </w:t>
      </w:r>
      <w:r w:rsidR="009E5592">
        <w:rPr>
          <w:lang w:val="en-US"/>
        </w:rPr>
        <w:t>URL</w:t>
      </w:r>
      <w:r w:rsidR="00893CE3" w:rsidRPr="001D3F20">
        <w:rPr>
          <w:lang w:val="en-US"/>
        </w:rPr>
        <w:t xml:space="preserve">: </w:t>
      </w:r>
      <w:r w:rsidR="00893CE3" w:rsidRPr="00C53FF7">
        <w:rPr>
          <w:rFonts w:cs="Times New Roman"/>
          <w:szCs w:val="24"/>
          <w:lang w:val="en-US"/>
        </w:rPr>
        <w:t>http</w:t>
      </w:r>
      <w:r w:rsidR="00893CE3" w:rsidRPr="001D3F20">
        <w:rPr>
          <w:rFonts w:cs="Times New Roman"/>
          <w:szCs w:val="24"/>
          <w:lang w:val="en-US"/>
        </w:rPr>
        <w:t>://</w:t>
      </w:r>
      <w:r w:rsidR="00893CE3" w:rsidRPr="00C53FF7">
        <w:rPr>
          <w:rFonts w:cs="Times New Roman"/>
          <w:szCs w:val="24"/>
          <w:lang w:val="en-US"/>
        </w:rPr>
        <w:t>www</w:t>
      </w:r>
      <w:r w:rsidR="00893CE3" w:rsidRPr="001D3F20">
        <w:rPr>
          <w:lang w:val="en-US"/>
        </w:rPr>
        <w:t>.zab-investporntal.ru</w:t>
      </w:r>
    </w:p>
    <w:p w:rsidR="00893CE3" w:rsidRPr="009E5592" w:rsidRDefault="009E5592" w:rsidP="009E5592">
      <w:pPr>
        <w:pStyle w:val="a3"/>
        <w:numPr>
          <w:ilvl w:val="0"/>
          <w:numId w:val="3"/>
        </w:numPr>
        <w:spacing w:line="360" w:lineRule="auto"/>
        <w:ind w:left="0" w:firstLine="709"/>
        <w:rPr>
          <w:lang w:val="en-US"/>
        </w:rPr>
      </w:pPr>
      <w:proofErr w:type="spellStart"/>
      <w:r w:rsidRPr="009E5592">
        <w:rPr>
          <w:lang w:val="en-US"/>
        </w:rPr>
        <w:t>Kozhevnikov</w:t>
      </w:r>
      <w:proofErr w:type="spellEnd"/>
      <w:r w:rsidRPr="009E5592">
        <w:rPr>
          <w:lang w:val="en-US"/>
        </w:rPr>
        <w:t>, S.A. Project management as a tool for increasing the effectiveness of the state executive authorities / S.</w:t>
      </w:r>
      <w:r w:rsidRPr="009E5592">
        <w:t>А</w:t>
      </w:r>
      <w:r w:rsidRPr="009E5592">
        <w:rPr>
          <w:lang w:val="en-US"/>
        </w:rPr>
        <w:t xml:space="preserve">. </w:t>
      </w:r>
      <w:proofErr w:type="spellStart"/>
      <w:r w:rsidRPr="009E5592">
        <w:rPr>
          <w:lang w:val="en-US"/>
        </w:rPr>
        <w:t>Kozhevnikov</w:t>
      </w:r>
      <w:proofErr w:type="spellEnd"/>
      <w:r w:rsidRPr="009E5592">
        <w:rPr>
          <w:lang w:val="en-US"/>
        </w:rPr>
        <w:t xml:space="preserve"> // Issues of territorial development</w:t>
      </w:r>
      <w:r w:rsidR="00893CE3" w:rsidRPr="009E5592">
        <w:rPr>
          <w:lang w:val="en-US"/>
        </w:rPr>
        <w:t xml:space="preserve">. – 2016. - №5 </w:t>
      </w:r>
      <w:proofErr w:type="spellStart"/>
      <w:r>
        <w:rPr>
          <w:lang w:val="en-US"/>
        </w:rPr>
        <w:t>ch</w:t>
      </w:r>
      <w:r w:rsidR="00893CE3" w:rsidRPr="009E5592">
        <w:rPr>
          <w:lang w:val="en-US"/>
        </w:rPr>
        <w:t>.</w:t>
      </w:r>
      <w:proofErr w:type="spellEnd"/>
      <w:r w:rsidR="00893CE3" w:rsidRPr="009E5592">
        <w:rPr>
          <w:lang w:val="en-US"/>
        </w:rPr>
        <w:t xml:space="preserve"> 35.</w:t>
      </w:r>
    </w:p>
    <w:p w:rsidR="00893CE3" w:rsidRPr="009E5592" w:rsidRDefault="009E5592" w:rsidP="00841FDC">
      <w:pPr>
        <w:pStyle w:val="a3"/>
        <w:numPr>
          <w:ilvl w:val="0"/>
          <w:numId w:val="3"/>
        </w:numPr>
        <w:spacing w:line="360" w:lineRule="auto"/>
        <w:ind w:left="0" w:firstLine="709"/>
        <w:rPr>
          <w:lang w:val="en-US"/>
        </w:rPr>
      </w:pPr>
      <w:r w:rsidRPr="009E5592">
        <w:rPr>
          <w:lang w:val="en-US"/>
        </w:rPr>
        <w:t xml:space="preserve">Official site of the Administration of </w:t>
      </w:r>
      <w:proofErr w:type="spellStart"/>
      <w:r w:rsidRPr="009E5592">
        <w:rPr>
          <w:lang w:val="en-US"/>
        </w:rPr>
        <w:t>Primorsky</w:t>
      </w:r>
      <w:proofErr w:type="spellEnd"/>
      <w:r w:rsidRPr="009E5592">
        <w:rPr>
          <w:lang w:val="en-US"/>
        </w:rPr>
        <w:t xml:space="preserve"> </w:t>
      </w:r>
      <w:proofErr w:type="spellStart"/>
      <w:r w:rsidRPr="009E5592">
        <w:rPr>
          <w:lang w:val="en-US"/>
        </w:rPr>
        <w:t>Krai</w:t>
      </w:r>
      <w:proofErr w:type="spellEnd"/>
      <w:r w:rsidRPr="009E5592">
        <w:rPr>
          <w:lang w:val="en-US"/>
        </w:rPr>
        <w:t xml:space="preserve"> and executive authorities of </w:t>
      </w:r>
      <w:proofErr w:type="spellStart"/>
      <w:r w:rsidRPr="009E5592">
        <w:rPr>
          <w:lang w:val="en-US"/>
        </w:rPr>
        <w:t>Primorsky</w:t>
      </w:r>
      <w:proofErr w:type="spellEnd"/>
      <w:r w:rsidRPr="009E5592">
        <w:rPr>
          <w:lang w:val="en-US"/>
        </w:rPr>
        <w:t xml:space="preserve"> </w:t>
      </w:r>
      <w:proofErr w:type="spellStart"/>
      <w:r w:rsidRPr="009E5592">
        <w:rPr>
          <w:lang w:val="en-US"/>
        </w:rPr>
        <w:t>Krai</w:t>
      </w:r>
      <w:proofErr w:type="spellEnd"/>
      <w:r w:rsidRPr="009E5592">
        <w:rPr>
          <w:lang w:val="en-US"/>
        </w:rPr>
        <w:t xml:space="preserve"> / Administration of </w:t>
      </w:r>
      <w:proofErr w:type="spellStart"/>
      <w:r w:rsidRPr="009E5592">
        <w:rPr>
          <w:lang w:val="en-US"/>
        </w:rPr>
        <w:t>Primorsky</w:t>
      </w:r>
      <w:proofErr w:type="spellEnd"/>
      <w:r w:rsidRPr="009E5592">
        <w:rPr>
          <w:lang w:val="en-US"/>
        </w:rPr>
        <w:t xml:space="preserve"> </w:t>
      </w:r>
      <w:proofErr w:type="spellStart"/>
      <w:r w:rsidRPr="009E5592">
        <w:rPr>
          <w:lang w:val="en-US"/>
        </w:rPr>
        <w:t>Krai</w:t>
      </w:r>
      <w:proofErr w:type="spellEnd"/>
      <w:r w:rsidR="00893CE3" w:rsidRPr="009E5592">
        <w:rPr>
          <w:lang w:val="en-US"/>
        </w:rPr>
        <w:t>. – </w:t>
      </w:r>
      <w:r w:rsidR="00B000F4">
        <w:rPr>
          <w:lang w:val="en-US"/>
        </w:rPr>
        <w:t>URL</w:t>
      </w:r>
      <w:r w:rsidR="00893CE3" w:rsidRPr="009E5592">
        <w:rPr>
          <w:lang w:val="en-US"/>
        </w:rPr>
        <w:t>: </w:t>
      </w:r>
      <w:r w:rsidR="00893CE3" w:rsidRPr="00C53FF7">
        <w:rPr>
          <w:rFonts w:cs="Times New Roman"/>
          <w:szCs w:val="24"/>
          <w:lang w:val="en-US"/>
        </w:rPr>
        <w:t>http</w:t>
      </w:r>
      <w:r w:rsidR="00893CE3" w:rsidRPr="009E5592">
        <w:rPr>
          <w:rFonts w:cs="Times New Roman"/>
          <w:szCs w:val="24"/>
          <w:lang w:val="en-US"/>
        </w:rPr>
        <w:t>://</w:t>
      </w:r>
      <w:r w:rsidR="00893CE3" w:rsidRPr="00C53FF7">
        <w:rPr>
          <w:rFonts w:cs="Times New Roman"/>
          <w:szCs w:val="24"/>
          <w:lang w:val="en-US"/>
        </w:rPr>
        <w:t>www</w:t>
      </w:r>
      <w:r w:rsidR="00893CE3" w:rsidRPr="009E5592">
        <w:rPr>
          <w:lang w:val="en-US"/>
        </w:rPr>
        <w:t>.</w:t>
      </w:r>
      <w:r w:rsidR="00893CE3">
        <w:rPr>
          <w:lang w:val="en-US"/>
        </w:rPr>
        <w:t>primorsky</w:t>
      </w:r>
      <w:r w:rsidR="00893CE3" w:rsidRPr="009E5592">
        <w:rPr>
          <w:lang w:val="en-US"/>
        </w:rPr>
        <w:t>.</w:t>
      </w:r>
      <w:r w:rsidR="00893CE3">
        <w:rPr>
          <w:lang w:val="en-US"/>
        </w:rPr>
        <w:t>ru</w:t>
      </w:r>
    </w:p>
    <w:p w:rsidR="00893CE3" w:rsidRPr="00B000F4" w:rsidRDefault="00B000F4" w:rsidP="00841FDC">
      <w:pPr>
        <w:pStyle w:val="a3"/>
        <w:numPr>
          <w:ilvl w:val="0"/>
          <w:numId w:val="3"/>
        </w:numPr>
        <w:spacing w:line="360" w:lineRule="auto"/>
        <w:ind w:left="0" w:firstLine="709"/>
        <w:rPr>
          <w:lang w:val="en-US"/>
        </w:rPr>
      </w:pPr>
      <w:r w:rsidRPr="00B000F4">
        <w:rPr>
          <w:lang w:val="en-US"/>
        </w:rPr>
        <w:t>Petersburg International Economic Forum (SPIEF) / «</w:t>
      </w:r>
      <w:proofErr w:type="spellStart"/>
      <w:r w:rsidRPr="00B000F4">
        <w:rPr>
          <w:lang w:val="en-US"/>
        </w:rPr>
        <w:t>Roskognress</w:t>
      </w:r>
      <w:proofErr w:type="spellEnd"/>
      <w:r w:rsidRPr="00B000F4">
        <w:rPr>
          <w:lang w:val="en-US"/>
        </w:rPr>
        <w:t>» Foundation</w:t>
      </w:r>
      <w:r w:rsidR="00893CE3" w:rsidRPr="00B000F4">
        <w:rPr>
          <w:lang w:val="en-US"/>
        </w:rPr>
        <w:t xml:space="preserve">. – </w:t>
      </w:r>
      <w:r>
        <w:rPr>
          <w:lang w:val="en-US"/>
        </w:rPr>
        <w:t>URL</w:t>
      </w:r>
      <w:r w:rsidR="00893CE3" w:rsidRPr="00B000F4">
        <w:rPr>
          <w:color w:val="000000" w:themeColor="text1"/>
          <w:lang w:val="en-US"/>
        </w:rPr>
        <w:t xml:space="preserve">: </w:t>
      </w:r>
      <w:r w:rsidR="00893CE3">
        <w:rPr>
          <w:color w:val="000000" w:themeColor="text1"/>
          <w:lang w:val="en-US"/>
        </w:rPr>
        <w:t>http</w:t>
      </w:r>
      <w:r w:rsidR="00893CE3" w:rsidRPr="00B000F4">
        <w:rPr>
          <w:color w:val="000000" w:themeColor="text1"/>
          <w:lang w:val="en-US"/>
        </w:rPr>
        <w:t>://</w:t>
      </w:r>
      <w:hyperlink r:id="rId11" w:history="1">
        <w:r w:rsidR="00893CE3" w:rsidRPr="00B000F4">
          <w:rPr>
            <w:rStyle w:val="a5"/>
            <w:color w:val="000000" w:themeColor="text1"/>
            <w:u w:val="none"/>
            <w:lang w:val="en-US"/>
          </w:rPr>
          <w:t>www.forumspb.com/ru</w:t>
        </w:r>
      </w:hyperlink>
    </w:p>
    <w:p w:rsidR="00893CE3" w:rsidRPr="00B000F4" w:rsidRDefault="00B000F4" w:rsidP="00841FDC">
      <w:pPr>
        <w:pStyle w:val="a3"/>
        <w:numPr>
          <w:ilvl w:val="0"/>
          <w:numId w:val="3"/>
        </w:numPr>
        <w:spacing w:line="360" w:lineRule="auto"/>
        <w:ind w:left="0" w:firstLine="709"/>
        <w:rPr>
          <w:lang w:val="en-US"/>
        </w:rPr>
      </w:pPr>
      <w:r w:rsidRPr="00B000F4">
        <w:rPr>
          <w:lang w:val="en-US"/>
        </w:rPr>
        <w:t xml:space="preserve">About the project | 2017 | Project </w:t>
      </w:r>
      <w:proofErr w:type="spellStart"/>
      <w:r w:rsidRPr="00B000F4">
        <w:rPr>
          <w:lang w:val="en-US"/>
        </w:rPr>
        <w:t>Olimp</w:t>
      </w:r>
      <w:proofErr w:type="spellEnd"/>
      <w:r w:rsidRPr="00B000F4">
        <w:rPr>
          <w:lang w:val="en-US"/>
        </w:rPr>
        <w:t xml:space="preserve"> / Analytical Center under the Government of the Russian Federation</w:t>
      </w:r>
      <w:r w:rsidR="00893CE3" w:rsidRPr="00B000F4">
        <w:rPr>
          <w:lang w:val="en-US"/>
        </w:rPr>
        <w:t xml:space="preserve">. – </w:t>
      </w:r>
      <w:r w:rsidR="00841FDC">
        <w:rPr>
          <w:lang w:val="en-US"/>
        </w:rPr>
        <w:t>URL</w:t>
      </w:r>
      <w:r w:rsidR="00893CE3" w:rsidRPr="00B000F4">
        <w:rPr>
          <w:lang w:val="en-US"/>
        </w:rPr>
        <w:t xml:space="preserve">: </w:t>
      </w:r>
      <w:r w:rsidR="00893CE3" w:rsidRPr="00C53FF7">
        <w:rPr>
          <w:rFonts w:cs="Times New Roman"/>
          <w:szCs w:val="24"/>
          <w:lang w:val="en-US"/>
        </w:rPr>
        <w:t>http</w:t>
      </w:r>
      <w:r w:rsidR="00893CE3" w:rsidRPr="00B000F4">
        <w:rPr>
          <w:rFonts w:cs="Times New Roman"/>
          <w:szCs w:val="24"/>
          <w:lang w:val="en-US"/>
        </w:rPr>
        <w:t>://</w:t>
      </w:r>
      <w:r w:rsidR="00893CE3" w:rsidRPr="00C53FF7">
        <w:rPr>
          <w:rFonts w:cs="Times New Roman"/>
          <w:szCs w:val="24"/>
          <w:lang w:val="en-US"/>
        </w:rPr>
        <w:t>www</w:t>
      </w:r>
      <w:r w:rsidR="00893CE3" w:rsidRPr="00B000F4">
        <w:rPr>
          <w:lang w:val="en-US"/>
        </w:rPr>
        <w:t>.</w:t>
      </w:r>
      <w:r w:rsidR="00893CE3">
        <w:rPr>
          <w:lang w:val="en-US"/>
        </w:rPr>
        <w:t>pmolimp</w:t>
      </w:r>
      <w:r w:rsidR="00893CE3" w:rsidRPr="00B000F4">
        <w:rPr>
          <w:lang w:val="en-US"/>
        </w:rPr>
        <w:t>.</w:t>
      </w:r>
      <w:r w:rsidR="00893CE3">
        <w:rPr>
          <w:lang w:val="en-US"/>
        </w:rPr>
        <w:t>ru</w:t>
      </w:r>
      <w:r w:rsidR="00893CE3" w:rsidRPr="00B000F4">
        <w:rPr>
          <w:lang w:val="en-US"/>
        </w:rPr>
        <w:t xml:space="preserve"> </w:t>
      </w:r>
    </w:p>
    <w:p w:rsidR="00274A2B" w:rsidRPr="00B000F4" w:rsidRDefault="00274A2B" w:rsidP="00274A2B">
      <w:pPr>
        <w:rPr>
          <w:lang w:val="en-US"/>
        </w:rPr>
      </w:pPr>
    </w:p>
    <w:sectPr w:rsidR="00274A2B" w:rsidRPr="00B000F4" w:rsidSect="001D54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631"/>
    <w:multiLevelType w:val="hybridMultilevel"/>
    <w:tmpl w:val="28FC9F4E"/>
    <w:lvl w:ilvl="0" w:tplc="7718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7C550F"/>
    <w:multiLevelType w:val="hybridMultilevel"/>
    <w:tmpl w:val="28FC9F4E"/>
    <w:lvl w:ilvl="0" w:tplc="7718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5877CE"/>
    <w:multiLevelType w:val="hybridMultilevel"/>
    <w:tmpl w:val="D2C8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96"/>
    <w:rsid w:val="000409DB"/>
    <w:rsid w:val="000663AB"/>
    <w:rsid w:val="000A64FE"/>
    <w:rsid w:val="000C3679"/>
    <w:rsid w:val="000D0926"/>
    <w:rsid w:val="001C0206"/>
    <w:rsid w:val="001D3F20"/>
    <w:rsid w:val="001D5448"/>
    <w:rsid w:val="001D7EA9"/>
    <w:rsid w:val="002609E3"/>
    <w:rsid w:val="00274A2B"/>
    <w:rsid w:val="0032696D"/>
    <w:rsid w:val="003D7C76"/>
    <w:rsid w:val="004802BD"/>
    <w:rsid w:val="0058331A"/>
    <w:rsid w:val="00612F64"/>
    <w:rsid w:val="00750550"/>
    <w:rsid w:val="0077598F"/>
    <w:rsid w:val="007E422F"/>
    <w:rsid w:val="0080166B"/>
    <w:rsid w:val="00821D1E"/>
    <w:rsid w:val="00841FDC"/>
    <w:rsid w:val="00857A48"/>
    <w:rsid w:val="00893145"/>
    <w:rsid w:val="00893CE3"/>
    <w:rsid w:val="00922001"/>
    <w:rsid w:val="009E5592"/>
    <w:rsid w:val="00B000F4"/>
    <w:rsid w:val="00B769F8"/>
    <w:rsid w:val="00BF0A96"/>
    <w:rsid w:val="00CE2D58"/>
    <w:rsid w:val="00CF0EC8"/>
    <w:rsid w:val="00D95F90"/>
    <w:rsid w:val="00DC243B"/>
    <w:rsid w:val="00E16639"/>
    <w:rsid w:val="00E24DEF"/>
    <w:rsid w:val="00E928EA"/>
    <w:rsid w:val="00EA48FC"/>
    <w:rsid w:val="00F26964"/>
    <w:rsid w:val="00F33950"/>
    <w:rsid w:val="00F60ABB"/>
    <w:rsid w:val="00F84EFC"/>
    <w:rsid w:val="00FA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0E"/>
    <w:pPr>
      <w:spacing w:after="0" w:line="360" w:lineRule="auto"/>
      <w:ind w:firstLine="709"/>
      <w:jc w:val="both"/>
    </w:pPr>
    <w:rPr>
      <w:rFonts w:ascii="Times New Roman" w:hAnsi="Times New Roman"/>
      <w:color w:val="000000" w:themeColor="text1"/>
      <w:sz w:val="24"/>
    </w:rPr>
  </w:style>
  <w:style w:type="paragraph" w:styleId="1">
    <w:name w:val="heading 1"/>
    <w:basedOn w:val="a"/>
    <w:next w:val="a"/>
    <w:link w:val="10"/>
    <w:uiPriority w:val="9"/>
    <w:qFormat/>
    <w:rsid w:val="0080166B"/>
    <w:pPr>
      <w:keepNext/>
      <w:keepLines/>
      <w:spacing w:before="240"/>
      <w:ind w:firstLine="0"/>
      <w:outlineLvl w:val="0"/>
    </w:pPr>
    <w:rPr>
      <w:rFonts w:eastAsiaTheme="majorEastAsia" w:cstheme="majorBidi"/>
      <w:szCs w:val="32"/>
      <w:lang w:eastAsia="ru-RU"/>
    </w:rPr>
  </w:style>
  <w:style w:type="paragraph" w:styleId="2">
    <w:name w:val="heading 2"/>
    <w:basedOn w:val="a"/>
    <w:next w:val="a"/>
    <w:link w:val="20"/>
    <w:uiPriority w:val="9"/>
    <w:semiHidden/>
    <w:unhideWhenUsed/>
    <w:qFormat/>
    <w:rsid w:val="0080166B"/>
    <w:pPr>
      <w:keepNext/>
      <w:keepLines/>
      <w:spacing w:before="40"/>
      <w:ind w:firstLine="0"/>
      <w:outlineLvl w:val="1"/>
    </w:pPr>
    <w:rPr>
      <w:rFonts w:eastAsiaTheme="majorEastAsia" w:cstheme="majorBidi"/>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66B"/>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0166B"/>
    <w:rPr>
      <w:rFonts w:ascii="Times New Roman" w:eastAsiaTheme="majorEastAsia" w:hAnsi="Times New Roman" w:cstheme="majorBidi"/>
      <w:color w:val="000000" w:themeColor="text1"/>
      <w:sz w:val="28"/>
      <w:szCs w:val="26"/>
      <w:lang w:eastAsia="ru-RU"/>
    </w:rPr>
  </w:style>
  <w:style w:type="paragraph" w:styleId="a3">
    <w:name w:val="List Paragraph"/>
    <w:basedOn w:val="a"/>
    <w:uiPriority w:val="34"/>
    <w:qFormat/>
    <w:rsid w:val="00922001"/>
    <w:pPr>
      <w:spacing w:line="240" w:lineRule="auto"/>
      <w:ind w:left="720"/>
      <w:contextualSpacing/>
    </w:pPr>
    <w:rPr>
      <w:color w:val="auto"/>
    </w:rPr>
  </w:style>
  <w:style w:type="table" w:styleId="a4">
    <w:name w:val="Table Grid"/>
    <w:basedOn w:val="a1"/>
    <w:uiPriority w:val="39"/>
    <w:rsid w:val="00775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833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0E"/>
    <w:pPr>
      <w:spacing w:after="0" w:line="360" w:lineRule="auto"/>
      <w:ind w:firstLine="709"/>
      <w:jc w:val="both"/>
    </w:pPr>
    <w:rPr>
      <w:rFonts w:ascii="Times New Roman" w:hAnsi="Times New Roman"/>
      <w:color w:val="000000" w:themeColor="text1"/>
      <w:sz w:val="24"/>
    </w:rPr>
  </w:style>
  <w:style w:type="paragraph" w:styleId="1">
    <w:name w:val="heading 1"/>
    <w:basedOn w:val="a"/>
    <w:next w:val="a"/>
    <w:link w:val="10"/>
    <w:uiPriority w:val="9"/>
    <w:qFormat/>
    <w:rsid w:val="0080166B"/>
    <w:pPr>
      <w:keepNext/>
      <w:keepLines/>
      <w:spacing w:before="240"/>
      <w:ind w:firstLine="0"/>
      <w:outlineLvl w:val="0"/>
    </w:pPr>
    <w:rPr>
      <w:rFonts w:eastAsiaTheme="majorEastAsia" w:cstheme="majorBidi"/>
      <w:szCs w:val="32"/>
      <w:lang w:eastAsia="ru-RU"/>
    </w:rPr>
  </w:style>
  <w:style w:type="paragraph" w:styleId="2">
    <w:name w:val="heading 2"/>
    <w:basedOn w:val="a"/>
    <w:next w:val="a"/>
    <w:link w:val="20"/>
    <w:uiPriority w:val="9"/>
    <w:semiHidden/>
    <w:unhideWhenUsed/>
    <w:qFormat/>
    <w:rsid w:val="0080166B"/>
    <w:pPr>
      <w:keepNext/>
      <w:keepLines/>
      <w:spacing w:before="40"/>
      <w:ind w:firstLine="0"/>
      <w:outlineLvl w:val="1"/>
    </w:pPr>
    <w:rPr>
      <w:rFonts w:eastAsiaTheme="majorEastAsia" w:cstheme="majorBidi"/>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66B"/>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0166B"/>
    <w:rPr>
      <w:rFonts w:ascii="Times New Roman" w:eastAsiaTheme="majorEastAsia" w:hAnsi="Times New Roman" w:cstheme="majorBidi"/>
      <w:color w:val="000000" w:themeColor="text1"/>
      <w:sz w:val="28"/>
      <w:szCs w:val="26"/>
      <w:lang w:eastAsia="ru-RU"/>
    </w:rPr>
  </w:style>
  <w:style w:type="paragraph" w:styleId="a3">
    <w:name w:val="List Paragraph"/>
    <w:basedOn w:val="a"/>
    <w:uiPriority w:val="34"/>
    <w:qFormat/>
    <w:rsid w:val="00922001"/>
    <w:pPr>
      <w:spacing w:line="240" w:lineRule="auto"/>
      <w:ind w:left="720"/>
      <w:contextualSpacing/>
    </w:pPr>
    <w:rPr>
      <w:color w:val="auto"/>
    </w:rPr>
  </w:style>
  <w:style w:type="table" w:styleId="a4">
    <w:name w:val="Table Grid"/>
    <w:basedOn w:val="a1"/>
    <w:uiPriority w:val="39"/>
    <w:rsid w:val="00775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83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spb.co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forumspb.com/ru" TargetMode="External"/><Relationship Id="rId5" Type="http://schemas.openxmlformats.org/officeDocument/2006/relationships/webSettings" Target="webSettings.xml"/><Relationship Id="rId10" Type="http://schemas.openxmlformats.org/officeDocument/2006/relationships/hyperlink" Target="mailto:kutcyi.nikita@gmail.com" TargetMode="External"/><Relationship Id="rId4" Type="http://schemas.openxmlformats.org/officeDocument/2006/relationships/settings" Target="settings.xml"/><Relationship Id="rId9" Type="http://schemas.openxmlformats.org/officeDocument/2006/relationships/hyperlink" Target="mailto:kutcyi.nikita@gmail.co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Региональные проектные офисы</c:v>
                </c:pt>
              </c:strCache>
            </c:strRef>
          </c:tx>
          <c:spPr>
            <a:solidFill>
              <a:schemeClr val="tx1"/>
            </a:solidFill>
            <a:ln>
              <a:solidFill>
                <a:schemeClr val="tx1"/>
              </a:solidFill>
            </a:ln>
          </c:spPr>
          <c:dPt>
            <c:idx val="0"/>
            <c:bubble3D val="0"/>
            <c:spPr>
              <a:solidFill>
                <a:schemeClr val="tx1"/>
              </a:solidFill>
              <a:ln w="3175">
                <a:solidFill>
                  <a:schemeClr val="tx1"/>
                </a:solidFill>
              </a:ln>
              <a:effectLst/>
            </c:spPr>
          </c:dPt>
          <c:dPt>
            <c:idx val="1"/>
            <c:bubble3D val="0"/>
            <c:spPr>
              <a:solidFill>
                <a:schemeClr val="bg1"/>
              </a:solidFill>
              <a:ln w="3175">
                <a:solidFill>
                  <a:schemeClr val="tx1"/>
                </a:solidFill>
              </a:ln>
              <a:effectLst>
                <a:glow>
                  <a:schemeClr val="tx1">
                    <a:alpha val="40000"/>
                  </a:schemeClr>
                </a:glow>
              </a:effectLst>
            </c:spPr>
          </c:dPt>
          <c:dPt>
            <c:idx val="2"/>
            <c:bubble3D val="0"/>
            <c:spPr>
              <a:solidFill>
                <a:schemeClr val="tx1"/>
              </a:solidFill>
              <a:ln w="19050">
                <a:solidFill>
                  <a:schemeClr val="tx1"/>
                </a:solidFill>
              </a:ln>
              <a:effectLst/>
            </c:spPr>
          </c:dPt>
          <c:dPt>
            <c:idx val="3"/>
            <c:bubble3D val="0"/>
            <c:spPr>
              <a:solidFill>
                <a:schemeClr val="tx1"/>
              </a:solidFill>
              <a:ln w="19050">
                <a:solidFill>
                  <a:schemeClr val="tx1"/>
                </a:solidFill>
              </a:ln>
              <a:effectLst/>
            </c:spPr>
          </c:dPt>
          <c:dLbls>
            <c:dLbl>
              <c:idx val="0"/>
              <c:layout>
                <c:manualLayout>
                  <c:x val="-0.17282005113362617"/>
                  <c:y val="-0.13731284580507713"/>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587445885923482"/>
                  <c:y val="7.2376953871846297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Проектные офис создан</c:v>
                </c:pt>
                <c:pt idx="1">
                  <c:v>Проектный офис не создан</c:v>
                </c:pt>
              </c:strCache>
            </c:strRef>
          </c:cat>
          <c:val>
            <c:numRef>
              <c:f>Лист1!$B$2:$B$5</c:f>
              <c:numCache>
                <c:formatCode>General</c:formatCode>
                <c:ptCount val="4"/>
                <c:pt idx="0">
                  <c:v>59</c:v>
                </c:pt>
                <c:pt idx="1">
                  <c:v>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lumMod val="65000"/>
                <a:lumOff val="35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c:v>
                </c:pt>
                <c:pt idx="1">
                  <c:v>0</c:v>
                </c:pt>
                <c:pt idx="2">
                  <c:v>0</c:v>
                </c:pt>
                <c:pt idx="3">
                  <c:v>4</c:v>
                </c:pt>
                <c:pt idx="4">
                  <c:v>5</c:v>
                </c:pt>
                <c:pt idx="5">
                  <c:v>16</c:v>
                </c:pt>
                <c:pt idx="6">
                  <c:v>20</c:v>
                </c:pt>
                <c:pt idx="7">
                  <c:v>13</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numCache>
            </c:numRef>
          </c:val>
        </c:ser>
        <c:ser>
          <c:idx val="2"/>
          <c:order val="2"/>
          <c:tx>
            <c:strRef>
              <c:f>Лист1!$D$1</c:f>
              <c:strCache>
                <c:ptCount val="1"/>
                <c:pt idx="0">
                  <c:v>Столбец2</c:v>
                </c:pt>
              </c:strCache>
            </c:strRef>
          </c:tx>
          <c:spPr>
            <a:solidFill>
              <a:schemeClr val="accent3"/>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numCache>
            </c:numRef>
          </c:val>
        </c:ser>
        <c:dLbls>
          <c:showLegendKey val="0"/>
          <c:showVal val="0"/>
          <c:showCatName val="0"/>
          <c:showSerName val="0"/>
          <c:showPercent val="0"/>
          <c:showBubbleSize val="0"/>
        </c:dLbls>
        <c:gapWidth val="219"/>
        <c:overlap val="-27"/>
        <c:axId val="178777472"/>
        <c:axId val="153989888"/>
      </c:barChart>
      <c:catAx>
        <c:axId val="1787774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3989888"/>
        <c:crosses val="autoZero"/>
        <c:auto val="1"/>
        <c:lblAlgn val="ctr"/>
        <c:lblOffset val="100"/>
        <c:noMultiLvlLbl val="0"/>
      </c:catAx>
      <c:valAx>
        <c:axId val="153989888"/>
        <c:scaling>
          <c:orientation val="minMax"/>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crossAx val="178777472"/>
        <c:crosses val="autoZero"/>
        <c:crossBetween val="between"/>
        <c:maj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10585</Characters>
  <Application>Microsoft Office Word</Application>
  <DocSecurity>4</DocSecurity>
  <Lines>378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saha23</dc:creator>
  <cp:lastModifiedBy>Екатерина Г. Леонидова</cp:lastModifiedBy>
  <cp:revision>2</cp:revision>
  <dcterms:created xsi:type="dcterms:W3CDTF">2017-05-10T08:50:00Z</dcterms:created>
  <dcterms:modified xsi:type="dcterms:W3CDTF">2017-05-10T08:50:00Z</dcterms:modified>
</cp:coreProperties>
</file>