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461" w:rsidRDefault="002A3461" w:rsidP="002A3461">
      <w:pPr>
        <w:spacing w:after="0"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УДК</w:t>
      </w:r>
      <w:r w:rsidR="00163C76">
        <w:rPr>
          <w:rFonts w:ascii="Times New Roman" w:hAnsi="Times New Roman" w:cs="Times New Roman"/>
          <w:b/>
          <w:sz w:val="24"/>
          <w:szCs w:val="24"/>
        </w:rPr>
        <w:t xml:space="preserve"> 332.14; 338.2    </w:t>
      </w:r>
      <w:r>
        <w:rPr>
          <w:rFonts w:ascii="Times New Roman" w:hAnsi="Times New Roman" w:cs="Times New Roman"/>
          <w:b/>
          <w:sz w:val="24"/>
          <w:szCs w:val="24"/>
        </w:rPr>
        <w:t>ББК</w:t>
      </w:r>
      <w:r w:rsidR="00163C76">
        <w:rPr>
          <w:rFonts w:ascii="Times New Roman" w:hAnsi="Times New Roman" w:cs="Times New Roman"/>
          <w:b/>
          <w:sz w:val="24"/>
          <w:szCs w:val="24"/>
        </w:rPr>
        <w:t xml:space="preserve">  65.04</w:t>
      </w:r>
    </w:p>
    <w:p w:rsidR="002A3461" w:rsidRPr="00DF2BEC" w:rsidRDefault="002A3461" w:rsidP="002A3461">
      <w:pPr>
        <w:spacing w:after="0" w:line="360" w:lineRule="auto"/>
        <w:jc w:val="right"/>
        <w:rPr>
          <w:rFonts w:ascii="Times New Roman" w:hAnsi="Times New Roman" w:cs="Times New Roman"/>
          <w:b/>
          <w:sz w:val="24"/>
          <w:szCs w:val="24"/>
        </w:rPr>
      </w:pPr>
      <w:r w:rsidRPr="00DF2BEC">
        <w:rPr>
          <w:rFonts w:ascii="Times New Roman" w:hAnsi="Times New Roman" w:cs="Times New Roman"/>
          <w:b/>
          <w:sz w:val="24"/>
          <w:szCs w:val="24"/>
        </w:rPr>
        <w:t>Толстогузов О.В.</w:t>
      </w:r>
    </w:p>
    <w:p w:rsidR="0093255C" w:rsidRPr="00E375F5" w:rsidRDefault="00B64AE1" w:rsidP="0093255C">
      <w:pPr>
        <w:spacing w:after="0" w:line="360" w:lineRule="auto"/>
        <w:jc w:val="center"/>
        <w:rPr>
          <w:rFonts w:ascii="Times New Roman" w:hAnsi="Times New Roman" w:cs="Times New Roman"/>
          <w:b/>
          <w:caps/>
          <w:sz w:val="24"/>
          <w:szCs w:val="24"/>
        </w:rPr>
      </w:pPr>
      <w:r>
        <w:rPr>
          <w:rFonts w:ascii="Times New Roman" w:hAnsi="Times New Roman" w:cs="Times New Roman"/>
          <w:b/>
          <w:caps/>
          <w:sz w:val="24"/>
          <w:szCs w:val="24"/>
        </w:rPr>
        <w:t>Системные</w:t>
      </w:r>
      <w:r w:rsidRPr="008B025E">
        <w:rPr>
          <w:rFonts w:ascii="Times New Roman" w:hAnsi="Times New Roman" w:cs="Times New Roman"/>
          <w:b/>
          <w:caps/>
          <w:sz w:val="24"/>
          <w:szCs w:val="24"/>
        </w:rPr>
        <w:t xml:space="preserve"> </w:t>
      </w:r>
      <w:r w:rsidR="00AF52C6">
        <w:rPr>
          <w:rFonts w:ascii="Times New Roman" w:hAnsi="Times New Roman" w:cs="Times New Roman"/>
          <w:b/>
          <w:caps/>
          <w:sz w:val="24"/>
          <w:szCs w:val="24"/>
        </w:rPr>
        <w:t xml:space="preserve">факторы развития экономики </w:t>
      </w:r>
      <w:r w:rsidR="009A1937">
        <w:rPr>
          <w:rFonts w:ascii="Times New Roman" w:hAnsi="Times New Roman" w:cs="Times New Roman"/>
          <w:b/>
          <w:caps/>
          <w:sz w:val="24"/>
          <w:szCs w:val="24"/>
        </w:rPr>
        <w:t>регионов</w:t>
      </w:r>
      <w:r w:rsidR="00AF52C6">
        <w:rPr>
          <w:rFonts w:ascii="Times New Roman" w:hAnsi="Times New Roman" w:cs="Times New Roman"/>
          <w:b/>
          <w:caps/>
          <w:sz w:val="24"/>
          <w:szCs w:val="24"/>
        </w:rPr>
        <w:t xml:space="preserve"> </w:t>
      </w:r>
    </w:p>
    <w:p w:rsidR="002A3461" w:rsidRDefault="002A3461" w:rsidP="002A3461">
      <w:pPr>
        <w:spacing w:after="0" w:line="360" w:lineRule="auto"/>
        <w:ind w:firstLine="567"/>
        <w:jc w:val="both"/>
        <w:rPr>
          <w:rFonts w:ascii="Times New Roman" w:hAnsi="Times New Roman" w:cs="Times New Roman"/>
          <w:i/>
          <w:color w:val="000000"/>
          <w:sz w:val="24"/>
          <w:szCs w:val="24"/>
        </w:rPr>
      </w:pPr>
    </w:p>
    <w:p w:rsidR="002A3461" w:rsidRPr="002A3461" w:rsidRDefault="002A3461" w:rsidP="002A3461">
      <w:pPr>
        <w:spacing w:after="0" w:line="360" w:lineRule="auto"/>
        <w:ind w:firstLine="567"/>
        <w:jc w:val="both"/>
        <w:rPr>
          <w:rFonts w:ascii="Times New Roman" w:hAnsi="Times New Roman" w:cs="Times New Roman"/>
          <w:i/>
          <w:color w:val="000000"/>
          <w:sz w:val="24"/>
          <w:szCs w:val="24"/>
        </w:rPr>
      </w:pPr>
      <w:r w:rsidRPr="002A3461">
        <w:rPr>
          <w:rFonts w:ascii="Times New Roman" w:hAnsi="Times New Roman" w:cs="Times New Roman"/>
          <w:i/>
          <w:color w:val="000000"/>
          <w:sz w:val="24"/>
          <w:szCs w:val="24"/>
        </w:rPr>
        <w:t>Статья посвящена исследованию зависимости структуры экономики региона от трансформации экономического пространства. Показано, что оттоку экономической ре</w:t>
      </w:r>
      <w:r w:rsidRPr="002A3461">
        <w:rPr>
          <w:rFonts w:ascii="Times New Roman" w:hAnsi="Times New Roman" w:cs="Times New Roman"/>
          <w:i/>
          <w:color w:val="000000"/>
          <w:sz w:val="24"/>
          <w:szCs w:val="24"/>
        </w:rPr>
        <w:t>н</w:t>
      </w:r>
      <w:r w:rsidRPr="002A3461">
        <w:rPr>
          <w:rFonts w:ascii="Times New Roman" w:hAnsi="Times New Roman" w:cs="Times New Roman"/>
          <w:i/>
          <w:color w:val="000000"/>
          <w:sz w:val="24"/>
          <w:szCs w:val="24"/>
        </w:rPr>
        <w:t>ты из регионов в центр способствует институционально установившийся порядок хозя</w:t>
      </w:r>
      <w:r w:rsidRPr="002A3461">
        <w:rPr>
          <w:rFonts w:ascii="Times New Roman" w:hAnsi="Times New Roman" w:cs="Times New Roman"/>
          <w:i/>
          <w:color w:val="000000"/>
          <w:sz w:val="24"/>
          <w:szCs w:val="24"/>
        </w:rPr>
        <w:t>й</w:t>
      </w:r>
      <w:r w:rsidRPr="002A3461">
        <w:rPr>
          <w:rFonts w:ascii="Times New Roman" w:hAnsi="Times New Roman" w:cs="Times New Roman"/>
          <w:i/>
          <w:color w:val="000000"/>
          <w:sz w:val="24"/>
          <w:szCs w:val="24"/>
        </w:rPr>
        <w:t>ствования</w:t>
      </w:r>
      <w:r>
        <w:rPr>
          <w:rFonts w:ascii="Times New Roman" w:hAnsi="Times New Roman" w:cs="Times New Roman"/>
          <w:i/>
          <w:color w:val="000000"/>
          <w:sz w:val="24"/>
          <w:szCs w:val="24"/>
        </w:rPr>
        <w:t>,</w:t>
      </w:r>
      <w:r w:rsidRPr="002A3461">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поэтому</w:t>
      </w:r>
      <w:r w:rsidRPr="002A3461">
        <w:rPr>
          <w:rFonts w:ascii="Times New Roman" w:hAnsi="Times New Roman" w:cs="Times New Roman"/>
          <w:i/>
          <w:color w:val="000000"/>
          <w:sz w:val="24"/>
          <w:szCs w:val="24"/>
        </w:rPr>
        <w:t xml:space="preserve"> необходимо </w:t>
      </w:r>
      <w:r>
        <w:rPr>
          <w:rFonts w:ascii="Times New Roman" w:hAnsi="Times New Roman" w:cs="Times New Roman"/>
          <w:i/>
          <w:color w:val="000000"/>
          <w:sz w:val="24"/>
          <w:szCs w:val="24"/>
        </w:rPr>
        <w:t xml:space="preserve">менять </w:t>
      </w:r>
      <w:r w:rsidRPr="002A3461">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экономическую политику</w:t>
      </w:r>
      <w:r w:rsidRPr="002A3461">
        <w:rPr>
          <w:rFonts w:ascii="Times New Roman" w:hAnsi="Times New Roman" w:cs="Times New Roman"/>
          <w:i/>
          <w:color w:val="000000"/>
          <w:sz w:val="24"/>
          <w:szCs w:val="24"/>
        </w:rPr>
        <w:t>.</w:t>
      </w:r>
    </w:p>
    <w:p w:rsidR="002A3461" w:rsidRPr="002A3461" w:rsidRDefault="002A3461" w:rsidP="002A3461">
      <w:pPr>
        <w:spacing w:after="0" w:line="360" w:lineRule="auto"/>
        <w:ind w:firstLine="567"/>
        <w:jc w:val="both"/>
        <w:rPr>
          <w:rFonts w:ascii="Times New Roman" w:hAnsi="Times New Roman" w:cs="Times New Roman"/>
          <w:i/>
          <w:color w:val="000000"/>
          <w:sz w:val="24"/>
          <w:szCs w:val="24"/>
        </w:rPr>
      </w:pPr>
      <w:r w:rsidRPr="002A3461">
        <w:rPr>
          <w:rFonts w:ascii="Times New Roman" w:hAnsi="Times New Roman" w:cs="Times New Roman"/>
          <w:i/>
          <w:color w:val="000000"/>
          <w:sz w:val="24"/>
          <w:szCs w:val="24"/>
        </w:rPr>
        <w:t>Ключевые слова: валовое накопление основного капитала, экономическое простра</w:t>
      </w:r>
      <w:r w:rsidRPr="002A3461">
        <w:rPr>
          <w:rFonts w:ascii="Times New Roman" w:hAnsi="Times New Roman" w:cs="Times New Roman"/>
          <w:i/>
          <w:color w:val="000000"/>
          <w:sz w:val="24"/>
          <w:szCs w:val="24"/>
        </w:rPr>
        <w:t>н</w:t>
      </w:r>
      <w:r w:rsidRPr="002A3461">
        <w:rPr>
          <w:rFonts w:ascii="Times New Roman" w:hAnsi="Times New Roman" w:cs="Times New Roman"/>
          <w:i/>
          <w:color w:val="000000"/>
          <w:sz w:val="24"/>
          <w:szCs w:val="24"/>
        </w:rPr>
        <w:t>ство, периферия, экономическая рента, экономический цикл</w:t>
      </w:r>
    </w:p>
    <w:p w:rsidR="002A3461" w:rsidRPr="00E375F5" w:rsidRDefault="002A3461" w:rsidP="0062595D">
      <w:pPr>
        <w:spacing w:after="0" w:line="360" w:lineRule="auto"/>
        <w:ind w:firstLine="567"/>
        <w:jc w:val="both"/>
        <w:rPr>
          <w:rFonts w:ascii="Times New Roman" w:hAnsi="Times New Roman" w:cs="Times New Roman"/>
          <w:color w:val="000000"/>
          <w:sz w:val="24"/>
          <w:szCs w:val="24"/>
        </w:rPr>
      </w:pPr>
    </w:p>
    <w:p w:rsidR="00DF2BEC" w:rsidRDefault="003B50DB" w:rsidP="00DF2BE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Трансформация экономического пространства </w:t>
      </w:r>
      <w:r w:rsidR="000728BD">
        <w:rPr>
          <w:rFonts w:ascii="Times New Roman" w:hAnsi="Times New Roman" w:cs="Times New Roman"/>
          <w:sz w:val="24"/>
          <w:szCs w:val="24"/>
        </w:rPr>
        <w:t>имеет</w:t>
      </w:r>
      <w:r>
        <w:rPr>
          <w:rFonts w:ascii="Times New Roman" w:hAnsi="Times New Roman" w:cs="Times New Roman"/>
          <w:sz w:val="24"/>
          <w:szCs w:val="24"/>
        </w:rPr>
        <w:t xml:space="preserve"> </w:t>
      </w:r>
      <w:r w:rsidR="00E70D01">
        <w:rPr>
          <w:rFonts w:ascii="Times New Roman" w:hAnsi="Times New Roman" w:cs="Times New Roman"/>
          <w:sz w:val="24"/>
          <w:szCs w:val="24"/>
        </w:rPr>
        <w:t xml:space="preserve">долгосрочные </w:t>
      </w:r>
      <w:r>
        <w:rPr>
          <w:rFonts w:ascii="Times New Roman" w:hAnsi="Times New Roman" w:cs="Times New Roman"/>
          <w:sz w:val="24"/>
          <w:szCs w:val="24"/>
        </w:rPr>
        <w:t>последствия в в</w:t>
      </w:r>
      <w:r>
        <w:rPr>
          <w:rFonts w:ascii="Times New Roman" w:hAnsi="Times New Roman" w:cs="Times New Roman"/>
          <w:sz w:val="24"/>
          <w:szCs w:val="24"/>
        </w:rPr>
        <w:t>и</w:t>
      </w:r>
      <w:r>
        <w:rPr>
          <w:rFonts w:ascii="Times New Roman" w:hAnsi="Times New Roman" w:cs="Times New Roman"/>
          <w:sz w:val="24"/>
          <w:szCs w:val="24"/>
        </w:rPr>
        <w:t>де глубоких структурных изменений</w:t>
      </w:r>
      <w:r w:rsidR="00B177AA">
        <w:rPr>
          <w:rFonts w:ascii="Times New Roman" w:hAnsi="Times New Roman" w:cs="Times New Roman"/>
          <w:sz w:val="24"/>
          <w:szCs w:val="24"/>
        </w:rPr>
        <w:t xml:space="preserve"> экономики</w:t>
      </w:r>
      <w:r>
        <w:rPr>
          <w:rFonts w:ascii="Times New Roman" w:hAnsi="Times New Roman" w:cs="Times New Roman"/>
          <w:sz w:val="24"/>
          <w:szCs w:val="24"/>
        </w:rPr>
        <w:t xml:space="preserve"> </w:t>
      </w:r>
      <w:r w:rsidRPr="003B50DB">
        <w:rPr>
          <w:rFonts w:ascii="Times New Roman" w:hAnsi="Times New Roman" w:cs="Times New Roman"/>
          <w:sz w:val="24"/>
          <w:szCs w:val="24"/>
        </w:rPr>
        <w:t>[2]</w:t>
      </w:r>
      <w:r>
        <w:rPr>
          <w:rFonts w:ascii="Times New Roman" w:hAnsi="Times New Roman" w:cs="Times New Roman"/>
          <w:sz w:val="24"/>
          <w:szCs w:val="24"/>
        </w:rPr>
        <w:t xml:space="preserve">. </w:t>
      </w:r>
      <w:r w:rsidR="00DF2BEC" w:rsidRPr="009B7395">
        <w:rPr>
          <w:rFonts w:ascii="Times New Roman" w:hAnsi="Times New Roman" w:cs="Times New Roman"/>
          <w:sz w:val="24"/>
          <w:szCs w:val="24"/>
        </w:rPr>
        <w:t>При этом регионы с разреженным эк</w:t>
      </w:r>
      <w:r w:rsidR="00DF2BEC" w:rsidRPr="009B7395">
        <w:rPr>
          <w:rFonts w:ascii="Times New Roman" w:hAnsi="Times New Roman" w:cs="Times New Roman"/>
          <w:sz w:val="24"/>
          <w:szCs w:val="24"/>
        </w:rPr>
        <w:t>о</w:t>
      </w:r>
      <w:r w:rsidR="00DF2BEC" w:rsidRPr="009B7395">
        <w:rPr>
          <w:rFonts w:ascii="Times New Roman" w:hAnsi="Times New Roman" w:cs="Times New Roman"/>
          <w:sz w:val="24"/>
          <w:szCs w:val="24"/>
        </w:rPr>
        <w:t>номическим пространством и институциональной разобщенностью и недостаточностью р</w:t>
      </w:r>
      <w:r w:rsidR="00DF2BEC" w:rsidRPr="009B7395">
        <w:rPr>
          <w:rFonts w:ascii="Times New Roman" w:hAnsi="Times New Roman" w:cs="Times New Roman"/>
          <w:sz w:val="24"/>
          <w:szCs w:val="24"/>
        </w:rPr>
        <w:t>е</w:t>
      </w:r>
      <w:r w:rsidR="00DF2BEC" w:rsidRPr="009B7395">
        <w:rPr>
          <w:rFonts w:ascii="Times New Roman" w:hAnsi="Times New Roman" w:cs="Times New Roman"/>
          <w:sz w:val="24"/>
          <w:szCs w:val="24"/>
        </w:rPr>
        <w:t xml:space="preserve">сурсов рыночной и административной власти </w:t>
      </w:r>
      <w:r w:rsidR="000728BD">
        <w:rPr>
          <w:rFonts w:ascii="Times New Roman" w:hAnsi="Times New Roman" w:cs="Times New Roman"/>
          <w:sz w:val="24"/>
          <w:szCs w:val="24"/>
        </w:rPr>
        <w:t xml:space="preserve">(особенно периферийные) </w:t>
      </w:r>
      <w:r w:rsidR="00DF2BEC" w:rsidRPr="009B7395">
        <w:rPr>
          <w:rFonts w:ascii="Times New Roman" w:hAnsi="Times New Roman" w:cs="Times New Roman"/>
          <w:sz w:val="24"/>
          <w:szCs w:val="24"/>
        </w:rPr>
        <w:t>постепенно теряют бизнес и свое промышленное значение [</w:t>
      </w:r>
      <w:r w:rsidRPr="0058179D">
        <w:rPr>
          <w:rFonts w:ascii="Times New Roman" w:hAnsi="Times New Roman" w:cs="Times New Roman"/>
          <w:sz w:val="24"/>
          <w:szCs w:val="24"/>
        </w:rPr>
        <w:t>3</w:t>
      </w:r>
      <w:r w:rsidR="00DF2BEC" w:rsidRPr="009B7395">
        <w:rPr>
          <w:rFonts w:ascii="Times New Roman" w:hAnsi="Times New Roman" w:cs="Times New Roman"/>
          <w:sz w:val="24"/>
          <w:szCs w:val="24"/>
        </w:rPr>
        <w:t xml:space="preserve">]. Может ли (и как) промышленность </w:t>
      </w:r>
      <w:r w:rsidR="00DF2BEC">
        <w:rPr>
          <w:rFonts w:ascii="Times New Roman" w:hAnsi="Times New Roman" w:cs="Times New Roman"/>
          <w:color w:val="000000"/>
          <w:sz w:val="24"/>
          <w:szCs w:val="24"/>
        </w:rPr>
        <w:t>в таких усл</w:t>
      </w:r>
      <w:r w:rsidR="00DF2BEC">
        <w:rPr>
          <w:rFonts w:ascii="Times New Roman" w:hAnsi="Times New Roman" w:cs="Times New Roman"/>
          <w:color w:val="000000"/>
          <w:sz w:val="24"/>
          <w:szCs w:val="24"/>
        </w:rPr>
        <w:t>о</w:t>
      </w:r>
      <w:r w:rsidR="00DF2BEC">
        <w:rPr>
          <w:rFonts w:ascii="Times New Roman" w:hAnsi="Times New Roman" w:cs="Times New Roman"/>
          <w:color w:val="000000"/>
          <w:sz w:val="24"/>
          <w:szCs w:val="24"/>
        </w:rPr>
        <w:t xml:space="preserve">виях </w:t>
      </w:r>
      <w:r w:rsidR="00DF2BEC" w:rsidRPr="00940D41">
        <w:rPr>
          <w:rFonts w:ascii="Times New Roman" w:hAnsi="Times New Roman" w:cs="Times New Roman"/>
          <w:color w:val="000000"/>
          <w:sz w:val="24"/>
          <w:szCs w:val="24"/>
        </w:rPr>
        <w:t xml:space="preserve">выступать основным источником, призванным обеспечить структурные преобразования с целью выведения экономики на путь </w:t>
      </w:r>
      <w:r w:rsidR="000728BD">
        <w:rPr>
          <w:rFonts w:ascii="Times New Roman" w:hAnsi="Times New Roman" w:cs="Times New Roman"/>
          <w:color w:val="000000"/>
          <w:sz w:val="24"/>
          <w:szCs w:val="24"/>
        </w:rPr>
        <w:t>модернизации и реиндустриализации</w:t>
      </w:r>
      <w:r w:rsidR="00DF2BEC">
        <w:rPr>
          <w:rFonts w:ascii="Times New Roman" w:hAnsi="Times New Roman" w:cs="Times New Roman"/>
          <w:color w:val="000000"/>
          <w:sz w:val="24"/>
          <w:szCs w:val="24"/>
        </w:rPr>
        <w:t>?</w:t>
      </w:r>
      <w:r w:rsidR="00DF2BEC">
        <w:rPr>
          <w:rFonts w:ascii="Times New Roman" w:hAnsi="Times New Roman" w:cs="Times New Roman"/>
          <w:sz w:val="24"/>
          <w:szCs w:val="24"/>
        </w:rPr>
        <w:t xml:space="preserve"> </w:t>
      </w:r>
    </w:p>
    <w:p w:rsidR="0062595D" w:rsidRDefault="0062595D" w:rsidP="009B7395">
      <w:pPr>
        <w:spacing w:after="0" w:line="360" w:lineRule="auto"/>
        <w:ind w:firstLine="709"/>
        <w:jc w:val="both"/>
        <w:rPr>
          <w:rFonts w:ascii="Times New Roman" w:hAnsi="Times New Roman" w:cs="Times New Roman"/>
          <w:sz w:val="24"/>
          <w:szCs w:val="24"/>
        </w:rPr>
      </w:pPr>
      <w:r w:rsidRPr="00497F84">
        <w:rPr>
          <w:rFonts w:ascii="Times New Roman" w:hAnsi="Times New Roman" w:cs="Times New Roman"/>
          <w:sz w:val="24"/>
          <w:szCs w:val="24"/>
        </w:rPr>
        <w:t>Основополагающий тезис «перманентный рост идет сам по себе и при условии м</w:t>
      </w:r>
      <w:r w:rsidRPr="00497F84">
        <w:rPr>
          <w:rFonts w:ascii="Times New Roman" w:hAnsi="Times New Roman" w:cs="Times New Roman"/>
          <w:sz w:val="24"/>
          <w:szCs w:val="24"/>
        </w:rPr>
        <w:t>о</w:t>
      </w:r>
      <w:r w:rsidRPr="00497F84">
        <w:rPr>
          <w:rFonts w:ascii="Times New Roman" w:hAnsi="Times New Roman" w:cs="Times New Roman"/>
          <w:sz w:val="24"/>
          <w:szCs w:val="24"/>
        </w:rPr>
        <w:t>бильности факторов производства и благоприятных институт</w:t>
      </w:r>
      <w:r>
        <w:rPr>
          <w:rFonts w:ascii="Times New Roman" w:hAnsi="Times New Roman" w:cs="Times New Roman"/>
          <w:sz w:val="24"/>
          <w:szCs w:val="24"/>
        </w:rPr>
        <w:t>ах</w:t>
      </w:r>
      <w:r w:rsidRPr="00497F84">
        <w:rPr>
          <w:rFonts w:ascii="Times New Roman" w:hAnsi="Times New Roman" w:cs="Times New Roman"/>
          <w:sz w:val="24"/>
          <w:szCs w:val="24"/>
        </w:rPr>
        <w:t xml:space="preserve"> влечет за собой исключ</w:t>
      </w:r>
      <w:r w:rsidRPr="00497F84">
        <w:rPr>
          <w:rFonts w:ascii="Times New Roman" w:hAnsi="Times New Roman" w:cs="Times New Roman"/>
          <w:sz w:val="24"/>
          <w:szCs w:val="24"/>
        </w:rPr>
        <w:t>и</w:t>
      </w:r>
      <w:r w:rsidRPr="00497F84">
        <w:rPr>
          <w:rFonts w:ascii="Times New Roman" w:hAnsi="Times New Roman" w:cs="Times New Roman"/>
          <w:sz w:val="24"/>
          <w:szCs w:val="24"/>
        </w:rPr>
        <w:t>тельно экономические выгоды» –</w:t>
      </w:r>
      <w:r>
        <w:rPr>
          <w:rFonts w:ascii="Times New Roman" w:hAnsi="Times New Roman" w:cs="Times New Roman"/>
          <w:sz w:val="24"/>
          <w:szCs w:val="24"/>
        </w:rPr>
        <w:t xml:space="preserve"> </w:t>
      </w:r>
      <w:r w:rsidRPr="00497F84">
        <w:rPr>
          <w:rFonts w:ascii="Times New Roman" w:hAnsi="Times New Roman" w:cs="Times New Roman"/>
          <w:sz w:val="24"/>
          <w:szCs w:val="24"/>
        </w:rPr>
        <w:t xml:space="preserve">не очевиден. </w:t>
      </w:r>
      <w:r>
        <w:rPr>
          <w:rFonts w:ascii="Times New Roman" w:hAnsi="Times New Roman" w:cs="Times New Roman"/>
          <w:sz w:val="24"/>
          <w:szCs w:val="24"/>
        </w:rPr>
        <w:t>Однако такая</w:t>
      </w:r>
      <w:r w:rsidRPr="00497F84">
        <w:rPr>
          <w:rFonts w:ascii="Times New Roman" w:hAnsi="Times New Roman" w:cs="Times New Roman"/>
          <w:sz w:val="24"/>
          <w:szCs w:val="24"/>
        </w:rPr>
        <w:t xml:space="preserve"> макроэкономическая точка зр</w:t>
      </w:r>
      <w:r w:rsidRPr="00497F84">
        <w:rPr>
          <w:rFonts w:ascii="Times New Roman" w:hAnsi="Times New Roman" w:cs="Times New Roman"/>
          <w:sz w:val="24"/>
          <w:szCs w:val="24"/>
        </w:rPr>
        <w:t>е</w:t>
      </w:r>
      <w:r w:rsidRPr="00497F84">
        <w:rPr>
          <w:rFonts w:ascii="Times New Roman" w:hAnsi="Times New Roman" w:cs="Times New Roman"/>
          <w:sz w:val="24"/>
          <w:szCs w:val="24"/>
        </w:rPr>
        <w:t>ни</w:t>
      </w:r>
      <w:r>
        <w:rPr>
          <w:rFonts w:ascii="Times New Roman" w:hAnsi="Times New Roman" w:cs="Times New Roman"/>
          <w:sz w:val="24"/>
          <w:szCs w:val="24"/>
        </w:rPr>
        <w:t>я</w:t>
      </w:r>
      <w:r w:rsidRPr="00497F84">
        <w:rPr>
          <w:rFonts w:ascii="Times New Roman" w:hAnsi="Times New Roman" w:cs="Times New Roman"/>
          <w:sz w:val="24"/>
          <w:szCs w:val="24"/>
        </w:rPr>
        <w:t xml:space="preserve"> явля</w:t>
      </w:r>
      <w:r>
        <w:rPr>
          <w:rFonts w:ascii="Times New Roman" w:hAnsi="Times New Roman" w:cs="Times New Roman"/>
          <w:sz w:val="24"/>
          <w:szCs w:val="24"/>
        </w:rPr>
        <w:t>е</w:t>
      </w:r>
      <w:r w:rsidRPr="00497F84">
        <w:rPr>
          <w:rFonts w:ascii="Times New Roman" w:hAnsi="Times New Roman" w:cs="Times New Roman"/>
          <w:sz w:val="24"/>
          <w:szCs w:val="24"/>
        </w:rPr>
        <w:t>тся доминирующ</w:t>
      </w:r>
      <w:r w:rsidR="0093130E">
        <w:rPr>
          <w:rFonts w:ascii="Times New Roman" w:hAnsi="Times New Roman" w:cs="Times New Roman"/>
          <w:sz w:val="24"/>
          <w:szCs w:val="24"/>
        </w:rPr>
        <w:t>ей</w:t>
      </w:r>
      <w:r w:rsidRPr="00497F84">
        <w:rPr>
          <w:rFonts w:ascii="Times New Roman" w:hAnsi="Times New Roman" w:cs="Times New Roman"/>
          <w:sz w:val="24"/>
          <w:szCs w:val="24"/>
        </w:rPr>
        <w:t xml:space="preserve">. </w:t>
      </w:r>
      <w:r>
        <w:rPr>
          <w:rFonts w:ascii="Times New Roman" w:hAnsi="Times New Roman" w:cs="Times New Roman"/>
          <w:sz w:val="24"/>
          <w:szCs w:val="24"/>
        </w:rPr>
        <w:t>Следуя данной логике, макроэкономическая стабилизация и институциональное управление должны привести к экономическому росту и оживлению и</w:t>
      </w:r>
      <w:r>
        <w:rPr>
          <w:rFonts w:ascii="Times New Roman" w:hAnsi="Times New Roman" w:cs="Times New Roman"/>
          <w:sz w:val="24"/>
          <w:szCs w:val="24"/>
        </w:rPr>
        <w:t>н</w:t>
      </w:r>
      <w:r>
        <w:rPr>
          <w:rFonts w:ascii="Times New Roman" w:hAnsi="Times New Roman" w:cs="Times New Roman"/>
          <w:sz w:val="24"/>
          <w:szCs w:val="24"/>
        </w:rPr>
        <w:t xml:space="preserve">вестиционного процесса  в регионах. </w:t>
      </w:r>
      <w:r w:rsidR="00756DB1">
        <w:rPr>
          <w:rFonts w:ascii="Times New Roman" w:hAnsi="Times New Roman" w:cs="Times New Roman"/>
          <w:sz w:val="24"/>
          <w:szCs w:val="24"/>
        </w:rPr>
        <w:t>Однако так ли это?</w:t>
      </w:r>
      <w:r w:rsidRPr="00BA2C65">
        <w:rPr>
          <w:rFonts w:ascii="Times New Roman" w:hAnsi="Times New Roman" w:cs="Times New Roman"/>
          <w:sz w:val="24"/>
          <w:szCs w:val="24"/>
        </w:rPr>
        <w:t xml:space="preserve"> </w:t>
      </w:r>
    </w:p>
    <w:p w:rsidR="00AF52C6" w:rsidRDefault="00AF52C6" w:rsidP="00DF2BE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качестве попытки найти ответ на данный вопрос, рассмотрим некоторые системные факторы развития экономики периферии, имеющих геоэкономическую природу. </w:t>
      </w:r>
      <w:r w:rsidR="00C07C63">
        <w:rPr>
          <w:rFonts w:ascii="Times New Roman" w:hAnsi="Times New Roman" w:cs="Times New Roman"/>
          <w:sz w:val="24"/>
          <w:szCs w:val="24"/>
        </w:rPr>
        <w:t xml:space="preserve">А также сформулируем соответствующие рекомендации по изменению экономической политики. </w:t>
      </w:r>
    </w:p>
    <w:p w:rsidR="00DF2BEC" w:rsidRPr="006C7037" w:rsidRDefault="00DF2BEC" w:rsidP="00DF2BEC">
      <w:pPr>
        <w:spacing w:after="0" w:line="360" w:lineRule="auto"/>
        <w:ind w:firstLine="709"/>
        <w:jc w:val="both"/>
        <w:rPr>
          <w:rFonts w:ascii="Times New Roman" w:hAnsi="Times New Roman" w:cs="Times New Roman"/>
          <w:sz w:val="24"/>
          <w:szCs w:val="24"/>
        </w:rPr>
      </w:pPr>
      <w:r w:rsidRPr="006C7037">
        <w:rPr>
          <w:rFonts w:ascii="Times New Roman" w:hAnsi="Times New Roman" w:cs="Times New Roman"/>
          <w:sz w:val="24"/>
          <w:szCs w:val="24"/>
        </w:rPr>
        <w:t>Имеющиеся знания и опыт приводят к убеждению, что с одной стороны справедливо утверждение, что природные ресурсы, имеющиеся у территории, при благоприятных услов</w:t>
      </w:r>
      <w:r w:rsidRPr="006C7037">
        <w:rPr>
          <w:rFonts w:ascii="Times New Roman" w:hAnsi="Times New Roman" w:cs="Times New Roman"/>
          <w:sz w:val="24"/>
          <w:szCs w:val="24"/>
        </w:rPr>
        <w:t>и</w:t>
      </w:r>
      <w:r w:rsidRPr="006C7037">
        <w:rPr>
          <w:rFonts w:ascii="Times New Roman" w:hAnsi="Times New Roman" w:cs="Times New Roman"/>
          <w:sz w:val="24"/>
          <w:szCs w:val="24"/>
        </w:rPr>
        <w:t xml:space="preserve">ях </w:t>
      </w:r>
      <w:r w:rsidR="000061D9">
        <w:rPr>
          <w:rFonts w:ascii="Times New Roman" w:hAnsi="Times New Roman" w:cs="Times New Roman"/>
          <w:sz w:val="24"/>
          <w:szCs w:val="24"/>
        </w:rPr>
        <w:t>стимулиру</w:t>
      </w:r>
      <w:r w:rsidRPr="006C7037">
        <w:rPr>
          <w:rFonts w:ascii="Times New Roman" w:hAnsi="Times New Roman" w:cs="Times New Roman"/>
          <w:sz w:val="24"/>
          <w:szCs w:val="24"/>
        </w:rPr>
        <w:t>ют экономическую активность, но с другой стороны необходимо принять также справедливость и того, что развитие межрегиональных отраслевых рынков и возрастающая отдача (и ее распределение в пользу центра как результат действия экстрактивных инстит</w:t>
      </w:r>
      <w:r w:rsidRPr="006C7037">
        <w:rPr>
          <w:rFonts w:ascii="Times New Roman" w:hAnsi="Times New Roman" w:cs="Times New Roman"/>
          <w:sz w:val="24"/>
          <w:szCs w:val="24"/>
        </w:rPr>
        <w:t>у</w:t>
      </w:r>
      <w:r w:rsidRPr="006C7037">
        <w:rPr>
          <w:rFonts w:ascii="Times New Roman" w:hAnsi="Times New Roman" w:cs="Times New Roman"/>
          <w:sz w:val="24"/>
          <w:szCs w:val="24"/>
        </w:rPr>
        <w:t xml:space="preserve">тов) являются альтернативным объяснением региональной специализации по отношению к фактору запаса ресурсов периферийных территорий. </w:t>
      </w:r>
    </w:p>
    <w:p w:rsidR="00DF2BEC" w:rsidRPr="006C7037" w:rsidRDefault="00717AD0" w:rsidP="00DF2BE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 </w:t>
      </w:r>
      <w:r w:rsidR="00DF2BEC" w:rsidRPr="006C7037">
        <w:rPr>
          <w:rFonts w:ascii="Times New Roman" w:hAnsi="Times New Roman" w:cs="Times New Roman"/>
          <w:sz w:val="24"/>
          <w:szCs w:val="24"/>
        </w:rPr>
        <w:t>небольшое расстояние</w:t>
      </w:r>
      <w:r w:rsidR="000061D9">
        <w:rPr>
          <w:rFonts w:ascii="Times New Roman" w:hAnsi="Times New Roman" w:cs="Times New Roman"/>
          <w:sz w:val="24"/>
          <w:szCs w:val="24"/>
        </w:rPr>
        <w:t>,</w:t>
      </w:r>
      <w:r w:rsidR="00DF2BEC" w:rsidRPr="006C7037">
        <w:rPr>
          <w:rFonts w:ascii="Times New Roman" w:hAnsi="Times New Roman" w:cs="Times New Roman"/>
          <w:sz w:val="24"/>
          <w:szCs w:val="24"/>
        </w:rPr>
        <w:t xml:space="preserve"> обеспечивающее доступность на рынки</w:t>
      </w:r>
      <w:r w:rsidR="000061D9">
        <w:rPr>
          <w:rFonts w:ascii="Times New Roman" w:hAnsi="Times New Roman" w:cs="Times New Roman"/>
          <w:sz w:val="24"/>
          <w:szCs w:val="24"/>
        </w:rPr>
        <w:t>,</w:t>
      </w:r>
      <w:r w:rsidR="00DF2BEC" w:rsidRPr="006C7037">
        <w:rPr>
          <w:rFonts w:ascii="Times New Roman" w:hAnsi="Times New Roman" w:cs="Times New Roman"/>
          <w:sz w:val="24"/>
          <w:szCs w:val="24"/>
        </w:rPr>
        <w:t xml:space="preserve"> — безусловно важный благоприятный фактор для роста экономики. Регионы с высоким ресурсным поте</w:t>
      </w:r>
      <w:r w:rsidR="00DF2BEC" w:rsidRPr="006C7037">
        <w:rPr>
          <w:rFonts w:ascii="Times New Roman" w:hAnsi="Times New Roman" w:cs="Times New Roman"/>
          <w:sz w:val="24"/>
          <w:szCs w:val="24"/>
        </w:rPr>
        <w:t>н</w:t>
      </w:r>
      <w:r w:rsidR="00DF2BEC" w:rsidRPr="006C7037">
        <w:rPr>
          <w:rFonts w:ascii="Times New Roman" w:hAnsi="Times New Roman" w:cs="Times New Roman"/>
          <w:sz w:val="24"/>
          <w:szCs w:val="24"/>
        </w:rPr>
        <w:t>циалом в силу наличия проектов крупным компаний и магистралей имеют довольно высокий рыночный потенциал, как за счет экономии масштаба, так и сравнительно невысоких затрат на транспортное плечо за счет близости к промышленным зонам (например, Карелия к Санкт-Петербургу и Финляндии или нефтяные регионы Западной Сибири к густонаселенн</w:t>
      </w:r>
      <w:r w:rsidR="00DF2BEC" w:rsidRPr="006C7037">
        <w:rPr>
          <w:rFonts w:ascii="Times New Roman" w:hAnsi="Times New Roman" w:cs="Times New Roman"/>
          <w:sz w:val="24"/>
          <w:szCs w:val="24"/>
        </w:rPr>
        <w:t>о</w:t>
      </w:r>
      <w:r w:rsidR="00DF2BEC" w:rsidRPr="006C7037">
        <w:rPr>
          <w:rFonts w:ascii="Times New Roman" w:hAnsi="Times New Roman" w:cs="Times New Roman"/>
          <w:sz w:val="24"/>
          <w:szCs w:val="24"/>
        </w:rPr>
        <w:t xml:space="preserve">му Уралу и Китаю). Однако сократить расстояние до рынков путем масштабных инвестиций в транспортные системы сложно. Периферия </w:t>
      </w:r>
      <w:r w:rsidR="007004F1">
        <w:rPr>
          <w:rFonts w:ascii="Times New Roman" w:hAnsi="Times New Roman" w:cs="Times New Roman"/>
          <w:sz w:val="24"/>
          <w:szCs w:val="24"/>
        </w:rPr>
        <w:t>весьма</w:t>
      </w:r>
      <w:r w:rsidR="00CA0368">
        <w:rPr>
          <w:rFonts w:ascii="Times New Roman" w:hAnsi="Times New Roman" w:cs="Times New Roman"/>
          <w:sz w:val="24"/>
          <w:szCs w:val="24"/>
        </w:rPr>
        <w:t xml:space="preserve"> </w:t>
      </w:r>
      <w:r w:rsidR="00DF2BEC" w:rsidRPr="006C7037">
        <w:rPr>
          <w:rFonts w:ascii="Times New Roman" w:hAnsi="Times New Roman" w:cs="Times New Roman"/>
          <w:sz w:val="24"/>
          <w:szCs w:val="24"/>
        </w:rPr>
        <w:t>чувствительна к инфраструктурным ограничениям. Поэтому очень высоки инвестиционные риски.</w:t>
      </w:r>
    </w:p>
    <w:p w:rsidR="00DF2BEC" w:rsidRPr="006C7037" w:rsidRDefault="000728BD" w:rsidP="00DF2BE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w:t>
      </w:r>
      <w:r w:rsidR="00DF2BEC" w:rsidRPr="006C7037">
        <w:rPr>
          <w:rFonts w:ascii="Times New Roman" w:hAnsi="Times New Roman" w:cs="Times New Roman"/>
          <w:sz w:val="24"/>
          <w:szCs w:val="24"/>
        </w:rPr>
        <w:t>благоприятны</w:t>
      </w:r>
      <w:r>
        <w:rPr>
          <w:rFonts w:ascii="Times New Roman" w:hAnsi="Times New Roman" w:cs="Times New Roman"/>
          <w:sz w:val="24"/>
          <w:szCs w:val="24"/>
        </w:rPr>
        <w:t>м</w:t>
      </w:r>
      <w:r w:rsidR="00DF2BEC" w:rsidRPr="006C7037">
        <w:rPr>
          <w:rFonts w:ascii="Times New Roman" w:hAnsi="Times New Roman" w:cs="Times New Roman"/>
          <w:sz w:val="24"/>
          <w:szCs w:val="24"/>
        </w:rPr>
        <w:t xml:space="preserve"> фактор</w:t>
      </w:r>
      <w:r>
        <w:rPr>
          <w:rFonts w:ascii="Times New Roman" w:hAnsi="Times New Roman" w:cs="Times New Roman"/>
          <w:sz w:val="24"/>
          <w:szCs w:val="24"/>
        </w:rPr>
        <w:t xml:space="preserve">ом является наличие серьезного </w:t>
      </w:r>
      <w:r w:rsidR="009A1937">
        <w:rPr>
          <w:rFonts w:ascii="Times New Roman" w:hAnsi="Times New Roman" w:cs="Times New Roman"/>
          <w:sz w:val="24"/>
          <w:szCs w:val="24"/>
        </w:rPr>
        <w:t>промышленн</w:t>
      </w:r>
      <w:r>
        <w:rPr>
          <w:rFonts w:ascii="Times New Roman" w:hAnsi="Times New Roman" w:cs="Times New Roman"/>
          <w:sz w:val="24"/>
          <w:szCs w:val="24"/>
        </w:rPr>
        <w:t>ого</w:t>
      </w:r>
      <w:r w:rsidR="009A1937">
        <w:rPr>
          <w:rFonts w:ascii="Times New Roman" w:hAnsi="Times New Roman" w:cs="Times New Roman"/>
          <w:sz w:val="24"/>
          <w:szCs w:val="24"/>
        </w:rPr>
        <w:t xml:space="preserve"> </w:t>
      </w:r>
      <w:r w:rsidR="00DF2BEC" w:rsidRPr="006C7037">
        <w:rPr>
          <w:rFonts w:ascii="Times New Roman" w:hAnsi="Times New Roman" w:cs="Times New Roman"/>
          <w:sz w:val="24"/>
          <w:szCs w:val="24"/>
        </w:rPr>
        <w:t>базис</w:t>
      </w:r>
      <w:r>
        <w:rPr>
          <w:rFonts w:ascii="Times New Roman" w:hAnsi="Times New Roman" w:cs="Times New Roman"/>
          <w:sz w:val="24"/>
          <w:szCs w:val="24"/>
        </w:rPr>
        <w:t>а</w:t>
      </w:r>
      <w:r w:rsidR="00DF2BEC" w:rsidRPr="006C7037">
        <w:rPr>
          <w:rFonts w:ascii="Times New Roman" w:hAnsi="Times New Roman" w:cs="Times New Roman"/>
          <w:sz w:val="24"/>
          <w:szCs w:val="24"/>
        </w:rPr>
        <w:t xml:space="preserve"> развития (энергопроизводственные циклы, система воспроизводства знаний, кадров). Если какой-то город (особенно крупный) возник где-то, то даже при сильных внешних обсто</w:t>
      </w:r>
      <w:r w:rsidR="00DF2BEC" w:rsidRPr="006C7037">
        <w:rPr>
          <w:rFonts w:ascii="Times New Roman" w:hAnsi="Times New Roman" w:cs="Times New Roman"/>
          <w:sz w:val="24"/>
          <w:szCs w:val="24"/>
        </w:rPr>
        <w:t>я</w:t>
      </w:r>
      <w:r w:rsidR="00DF2BEC" w:rsidRPr="006C7037">
        <w:rPr>
          <w:rFonts w:ascii="Times New Roman" w:hAnsi="Times New Roman" w:cs="Times New Roman"/>
          <w:sz w:val="24"/>
          <w:szCs w:val="24"/>
        </w:rPr>
        <w:t>тельствах промышленная база не даст ему умереть. Концентрация населения, экономических агентов, трансакций создает определенный рыночный потенциал, который движет развитием города и привлекает инвестиции. Трансформация пространства не может сразу переломить его экономические тренды.</w:t>
      </w:r>
    </w:p>
    <w:p w:rsidR="00DF2BEC" w:rsidRPr="006C7037" w:rsidRDefault="000728BD" w:rsidP="00DF2BE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DF2BEC" w:rsidRPr="006C7037">
        <w:rPr>
          <w:rFonts w:ascii="Times New Roman" w:hAnsi="Times New Roman" w:cs="Times New Roman"/>
          <w:sz w:val="24"/>
          <w:szCs w:val="24"/>
        </w:rPr>
        <w:t>ространственная трансформация как постоянный фактор давления постепенно мен</w:t>
      </w:r>
      <w:r w:rsidR="00DF2BEC" w:rsidRPr="006C7037">
        <w:rPr>
          <w:rFonts w:ascii="Times New Roman" w:hAnsi="Times New Roman" w:cs="Times New Roman"/>
          <w:sz w:val="24"/>
          <w:szCs w:val="24"/>
        </w:rPr>
        <w:t>я</w:t>
      </w:r>
      <w:r w:rsidR="00DF2BEC" w:rsidRPr="006C7037">
        <w:rPr>
          <w:rFonts w:ascii="Times New Roman" w:hAnsi="Times New Roman" w:cs="Times New Roman"/>
          <w:sz w:val="24"/>
          <w:szCs w:val="24"/>
        </w:rPr>
        <w:t>ет структуру экономики регионов. Пространственное развитие имеет долговременные те</w:t>
      </w:r>
      <w:r w:rsidR="00DF2BEC" w:rsidRPr="006C7037">
        <w:rPr>
          <w:rFonts w:ascii="Times New Roman" w:hAnsi="Times New Roman" w:cs="Times New Roman"/>
          <w:sz w:val="24"/>
          <w:szCs w:val="24"/>
        </w:rPr>
        <w:t>н</w:t>
      </w:r>
      <w:r w:rsidR="00DF2BEC" w:rsidRPr="006C7037">
        <w:rPr>
          <w:rFonts w:ascii="Times New Roman" w:hAnsi="Times New Roman" w:cs="Times New Roman"/>
          <w:sz w:val="24"/>
          <w:szCs w:val="24"/>
        </w:rPr>
        <w:t>денции</w:t>
      </w:r>
      <w:r w:rsidR="009A1937">
        <w:rPr>
          <w:rFonts w:ascii="Times New Roman" w:hAnsi="Times New Roman" w:cs="Times New Roman"/>
          <w:sz w:val="24"/>
          <w:szCs w:val="24"/>
        </w:rPr>
        <w:t>;</w:t>
      </w:r>
      <w:r w:rsidR="00DF2BEC" w:rsidRPr="006C7037">
        <w:rPr>
          <w:rFonts w:ascii="Times New Roman" w:hAnsi="Times New Roman" w:cs="Times New Roman"/>
          <w:sz w:val="24"/>
          <w:szCs w:val="24"/>
        </w:rPr>
        <w:t xml:space="preserve"> </w:t>
      </w:r>
      <w:r w:rsidR="009A1937">
        <w:rPr>
          <w:rFonts w:ascii="Times New Roman" w:hAnsi="Times New Roman" w:cs="Times New Roman"/>
          <w:sz w:val="24"/>
          <w:szCs w:val="24"/>
        </w:rPr>
        <w:t xml:space="preserve">сопутствующие </w:t>
      </w:r>
      <w:r w:rsidR="00DF2BEC" w:rsidRPr="006C7037">
        <w:rPr>
          <w:rFonts w:ascii="Times New Roman" w:hAnsi="Times New Roman" w:cs="Times New Roman"/>
          <w:sz w:val="24"/>
          <w:szCs w:val="24"/>
        </w:rPr>
        <w:t>факторы и барьеры</w:t>
      </w:r>
      <w:r w:rsidR="009A1937">
        <w:rPr>
          <w:rFonts w:ascii="Times New Roman" w:hAnsi="Times New Roman" w:cs="Times New Roman"/>
          <w:sz w:val="24"/>
          <w:szCs w:val="24"/>
        </w:rPr>
        <w:t>,</w:t>
      </w:r>
      <w:r w:rsidR="00DF2BEC" w:rsidRPr="006C7037">
        <w:rPr>
          <w:rFonts w:ascii="Times New Roman" w:hAnsi="Times New Roman" w:cs="Times New Roman"/>
          <w:sz w:val="24"/>
          <w:szCs w:val="24"/>
        </w:rPr>
        <w:t xml:space="preserve"> </w:t>
      </w:r>
      <w:r w:rsidR="009A1937" w:rsidRPr="006C7037">
        <w:rPr>
          <w:rFonts w:ascii="Times New Roman" w:hAnsi="Times New Roman" w:cs="Times New Roman"/>
          <w:sz w:val="24"/>
          <w:szCs w:val="24"/>
        </w:rPr>
        <w:t>связан</w:t>
      </w:r>
      <w:r w:rsidR="009A1937">
        <w:rPr>
          <w:rFonts w:ascii="Times New Roman" w:hAnsi="Times New Roman" w:cs="Times New Roman"/>
          <w:sz w:val="24"/>
          <w:szCs w:val="24"/>
        </w:rPr>
        <w:t>н</w:t>
      </w:r>
      <w:r w:rsidR="009A1937" w:rsidRPr="006C7037">
        <w:rPr>
          <w:rFonts w:ascii="Times New Roman" w:hAnsi="Times New Roman" w:cs="Times New Roman"/>
          <w:sz w:val="24"/>
          <w:szCs w:val="24"/>
        </w:rPr>
        <w:t>ы</w:t>
      </w:r>
      <w:r w:rsidR="009A1937">
        <w:rPr>
          <w:rFonts w:ascii="Times New Roman" w:hAnsi="Times New Roman" w:cs="Times New Roman"/>
          <w:sz w:val="24"/>
          <w:szCs w:val="24"/>
        </w:rPr>
        <w:t>е</w:t>
      </w:r>
      <w:r w:rsidR="009A1937" w:rsidRPr="006C7037">
        <w:rPr>
          <w:rFonts w:ascii="Times New Roman" w:hAnsi="Times New Roman" w:cs="Times New Roman"/>
          <w:sz w:val="24"/>
          <w:szCs w:val="24"/>
        </w:rPr>
        <w:t xml:space="preserve"> с институциональной и социальной укоренённостью </w:t>
      </w:r>
      <w:r w:rsidR="00DF2BEC" w:rsidRPr="006C7037">
        <w:rPr>
          <w:rFonts w:ascii="Times New Roman" w:hAnsi="Times New Roman" w:cs="Times New Roman"/>
          <w:sz w:val="24"/>
          <w:szCs w:val="24"/>
        </w:rPr>
        <w:t>также имеют долговременный характер. Последние обуславливают разо</w:t>
      </w:r>
      <w:r w:rsidR="00DF2BEC" w:rsidRPr="006C7037">
        <w:rPr>
          <w:rFonts w:ascii="Times New Roman" w:hAnsi="Times New Roman" w:cs="Times New Roman"/>
          <w:sz w:val="24"/>
          <w:szCs w:val="24"/>
        </w:rPr>
        <w:t>б</w:t>
      </w:r>
      <w:r w:rsidR="00DF2BEC" w:rsidRPr="006C7037">
        <w:rPr>
          <w:rFonts w:ascii="Times New Roman" w:hAnsi="Times New Roman" w:cs="Times New Roman"/>
          <w:sz w:val="24"/>
          <w:szCs w:val="24"/>
        </w:rPr>
        <w:t xml:space="preserve">щенность агентов, которая возникает в результате действия этих факторов и даже </w:t>
      </w:r>
      <w:r w:rsidR="000061D9">
        <w:rPr>
          <w:rFonts w:ascii="Times New Roman" w:hAnsi="Times New Roman" w:cs="Times New Roman"/>
          <w:sz w:val="24"/>
          <w:szCs w:val="24"/>
        </w:rPr>
        <w:t>может при</w:t>
      </w:r>
      <w:r w:rsidR="00DF2BEC" w:rsidRPr="006C7037">
        <w:rPr>
          <w:rFonts w:ascii="Times New Roman" w:hAnsi="Times New Roman" w:cs="Times New Roman"/>
          <w:sz w:val="24"/>
          <w:szCs w:val="24"/>
        </w:rPr>
        <w:t xml:space="preserve">вести к «разрыву» экономического пространства. </w:t>
      </w:r>
    </w:p>
    <w:p w:rsidR="00F05FFC" w:rsidRPr="006C7037" w:rsidRDefault="000061D9" w:rsidP="009B73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Далее рассмотрим структурные изменения экономики регионов</w:t>
      </w:r>
      <w:r w:rsidR="000728BD">
        <w:rPr>
          <w:rFonts w:ascii="Times New Roman" w:hAnsi="Times New Roman" w:cs="Times New Roman"/>
          <w:sz w:val="24"/>
          <w:szCs w:val="24"/>
        </w:rPr>
        <w:t xml:space="preserve">: федеральных округов и регионов Северо-Западного федерального округа (СЗФО). </w:t>
      </w:r>
      <w:r w:rsidR="00F05FFC" w:rsidRPr="006C7037">
        <w:rPr>
          <w:rFonts w:ascii="Times New Roman" w:hAnsi="Times New Roman" w:cs="Times New Roman"/>
          <w:sz w:val="24"/>
          <w:szCs w:val="24"/>
        </w:rPr>
        <w:t>Информационную базу исслед</w:t>
      </w:r>
      <w:r w:rsidR="00F05FFC" w:rsidRPr="006C7037">
        <w:rPr>
          <w:rFonts w:ascii="Times New Roman" w:hAnsi="Times New Roman" w:cs="Times New Roman"/>
          <w:sz w:val="24"/>
          <w:szCs w:val="24"/>
        </w:rPr>
        <w:t>о</w:t>
      </w:r>
      <w:r w:rsidR="00F05FFC" w:rsidRPr="006C7037">
        <w:rPr>
          <w:rFonts w:ascii="Times New Roman" w:hAnsi="Times New Roman" w:cs="Times New Roman"/>
          <w:sz w:val="24"/>
          <w:szCs w:val="24"/>
        </w:rPr>
        <w:t>вания составили статистические данные Росстата о структуре ВДС секторов (отраслей) и ВРП регионов. Анализируемый период</w:t>
      </w:r>
      <w:r w:rsidR="000728BD">
        <w:rPr>
          <w:rFonts w:ascii="Times New Roman" w:hAnsi="Times New Roman" w:cs="Times New Roman"/>
          <w:sz w:val="24"/>
          <w:szCs w:val="24"/>
        </w:rPr>
        <w:t>:</w:t>
      </w:r>
      <w:r w:rsidR="00F05FFC" w:rsidRPr="006C7037">
        <w:rPr>
          <w:rFonts w:ascii="Times New Roman" w:hAnsi="Times New Roman" w:cs="Times New Roman"/>
          <w:sz w:val="24"/>
          <w:szCs w:val="24"/>
        </w:rPr>
        <w:t xml:space="preserve"> 200</w:t>
      </w:r>
      <w:r w:rsidR="000728BD">
        <w:rPr>
          <w:rFonts w:ascii="Times New Roman" w:hAnsi="Times New Roman" w:cs="Times New Roman"/>
          <w:sz w:val="24"/>
          <w:szCs w:val="24"/>
        </w:rPr>
        <w:t>0</w:t>
      </w:r>
      <w:r w:rsidR="00F05FFC" w:rsidRPr="006C7037">
        <w:rPr>
          <w:rFonts w:ascii="Times New Roman" w:hAnsi="Times New Roman" w:cs="Times New Roman"/>
          <w:sz w:val="24"/>
          <w:szCs w:val="24"/>
        </w:rPr>
        <w:t xml:space="preserve"> </w:t>
      </w:r>
      <w:r w:rsidR="000728BD">
        <w:rPr>
          <w:rFonts w:ascii="Times New Roman" w:hAnsi="Times New Roman" w:cs="Times New Roman"/>
          <w:sz w:val="24"/>
          <w:szCs w:val="24"/>
        </w:rPr>
        <w:t>-</w:t>
      </w:r>
      <w:r w:rsidR="00F05FFC" w:rsidRPr="006C7037">
        <w:rPr>
          <w:rFonts w:ascii="Times New Roman" w:hAnsi="Times New Roman" w:cs="Times New Roman"/>
          <w:sz w:val="24"/>
          <w:szCs w:val="24"/>
        </w:rPr>
        <w:t xml:space="preserve"> 2013 г</w:t>
      </w:r>
      <w:r w:rsidR="000728BD">
        <w:rPr>
          <w:rFonts w:ascii="Times New Roman" w:hAnsi="Times New Roman" w:cs="Times New Roman"/>
          <w:sz w:val="24"/>
          <w:szCs w:val="24"/>
        </w:rPr>
        <w:t>г</w:t>
      </w:r>
      <w:r w:rsidR="00F05FFC" w:rsidRPr="006C7037">
        <w:rPr>
          <w:rFonts w:ascii="Times New Roman" w:hAnsi="Times New Roman" w:cs="Times New Roman"/>
          <w:sz w:val="24"/>
          <w:szCs w:val="24"/>
        </w:rPr>
        <w:t>.</w:t>
      </w:r>
    </w:p>
    <w:p w:rsidR="00F05FFC" w:rsidRPr="006C7037" w:rsidRDefault="00BC3516" w:rsidP="009B73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Динамика </w:t>
      </w:r>
      <w:r w:rsidR="00F05FFC" w:rsidRPr="006C7037">
        <w:rPr>
          <w:rFonts w:ascii="Times New Roman" w:hAnsi="Times New Roman" w:cs="Times New Roman"/>
          <w:sz w:val="24"/>
          <w:szCs w:val="24"/>
        </w:rPr>
        <w:t xml:space="preserve">ВРП </w:t>
      </w:r>
      <w:r w:rsidR="002043BF">
        <w:rPr>
          <w:rFonts w:ascii="Times New Roman" w:hAnsi="Times New Roman" w:cs="Times New Roman"/>
          <w:sz w:val="24"/>
          <w:szCs w:val="24"/>
        </w:rPr>
        <w:t>федеральны</w:t>
      </w:r>
      <w:r>
        <w:rPr>
          <w:rFonts w:ascii="Times New Roman" w:hAnsi="Times New Roman" w:cs="Times New Roman"/>
          <w:sz w:val="24"/>
          <w:szCs w:val="24"/>
        </w:rPr>
        <w:t>х округов</w:t>
      </w:r>
      <w:r w:rsidR="002043BF">
        <w:rPr>
          <w:rFonts w:ascii="Times New Roman" w:hAnsi="Times New Roman" w:cs="Times New Roman"/>
          <w:sz w:val="24"/>
          <w:szCs w:val="24"/>
        </w:rPr>
        <w:t xml:space="preserve"> </w:t>
      </w:r>
      <w:r w:rsidR="00F05FFC" w:rsidRPr="006C7037">
        <w:rPr>
          <w:rFonts w:ascii="Times New Roman" w:hAnsi="Times New Roman" w:cs="Times New Roman"/>
          <w:sz w:val="24"/>
          <w:szCs w:val="24"/>
        </w:rPr>
        <w:t>(ВДС в текущих основных ценах) в течение 2000-2013 годов</w:t>
      </w:r>
      <w:r>
        <w:rPr>
          <w:rFonts w:ascii="Times New Roman" w:hAnsi="Times New Roman" w:cs="Times New Roman"/>
          <w:sz w:val="24"/>
          <w:szCs w:val="24"/>
        </w:rPr>
        <w:t xml:space="preserve"> демонстрирует</w:t>
      </w:r>
      <w:r w:rsidR="00F05FFC" w:rsidRPr="006C7037">
        <w:rPr>
          <w:rFonts w:ascii="Times New Roman" w:hAnsi="Times New Roman" w:cs="Times New Roman"/>
          <w:sz w:val="24"/>
          <w:szCs w:val="24"/>
        </w:rPr>
        <w:t xml:space="preserve"> синхронное изменение </w:t>
      </w:r>
      <w:r>
        <w:rPr>
          <w:rFonts w:ascii="Times New Roman" w:hAnsi="Times New Roman" w:cs="Times New Roman"/>
          <w:sz w:val="24"/>
          <w:szCs w:val="24"/>
        </w:rPr>
        <w:t xml:space="preserve">показателя </w:t>
      </w:r>
      <w:r w:rsidR="00F05FFC" w:rsidRPr="006C7037">
        <w:rPr>
          <w:rFonts w:ascii="Times New Roman" w:hAnsi="Times New Roman" w:cs="Times New Roman"/>
          <w:sz w:val="24"/>
          <w:szCs w:val="24"/>
        </w:rPr>
        <w:t>(при доминировании Це</w:t>
      </w:r>
      <w:r w:rsidR="00F05FFC" w:rsidRPr="006C7037">
        <w:rPr>
          <w:rFonts w:ascii="Times New Roman" w:hAnsi="Times New Roman" w:cs="Times New Roman"/>
          <w:sz w:val="24"/>
          <w:szCs w:val="24"/>
        </w:rPr>
        <w:t>н</w:t>
      </w:r>
      <w:r w:rsidR="00F05FFC" w:rsidRPr="006C7037">
        <w:rPr>
          <w:rFonts w:ascii="Times New Roman" w:hAnsi="Times New Roman" w:cs="Times New Roman"/>
          <w:sz w:val="24"/>
          <w:szCs w:val="24"/>
        </w:rPr>
        <w:t xml:space="preserve">трального </w:t>
      </w:r>
      <w:r w:rsidR="000061D9">
        <w:rPr>
          <w:rFonts w:ascii="Times New Roman" w:hAnsi="Times New Roman" w:cs="Times New Roman"/>
          <w:sz w:val="24"/>
          <w:szCs w:val="24"/>
        </w:rPr>
        <w:t xml:space="preserve">федерального </w:t>
      </w:r>
      <w:r w:rsidR="00F05FFC" w:rsidRPr="006C7037">
        <w:rPr>
          <w:rFonts w:ascii="Times New Roman" w:hAnsi="Times New Roman" w:cs="Times New Roman"/>
          <w:sz w:val="24"/>
          <w:szCs w:val="24"/>
        </w:rPr>
        <w:t>округа)</w:t>
      </w:r>
      <w:r w:rsidR="00D76377">
        <w:rPr>
          <w:rFonts w:ascii="Times New Roman" w:hAnsi="Times New Roman" w:cs="Times New Roman"/>
          <w:sz w:val="24"/>
          <w:szCs w:val="24"/>
        </w:rPr>
        <w:t xml:space="preserve">. </w:t>
      </w:r>
      <w:r w:rsidR="00F05FFC" w:rsidRPr="006C7037">
        <w:rPr>
          <w:rFonts w:ascii="Times New Roman" w:hAnsi="Times New Roman" w:cs="Times New Roman"/>
          <w:sz w:val="24"/>
          <w:szCs w:val="24"/>
        </w:rPr>
        <w:t xml:space="preserve">В то же время, к сожалению, </w:t>
      </w:r>
      <w:r w:rsidR="000061D9">
        <w:rPr>
          <w:rFonts w:ascii="Times New Roman" w:hAnsi="Times New Roman" w:cs="Times New Roman"/>
          <w:sz w:val="24"/>
          <w:szCs w:val="24"/>
        </w:rPr>
        <w:t xml:space="preserve">данная картина </w:t>
      </w:r>
      <w:r w:rsidR="00F05FFC" w:rsidRPr="006C7037">
        <w:rPr>
          <w:rFonts w:ascii="Times New Roman" w:hAnsi="Times New Roman" w:cs="Times New Roman"/>
          <w:sz w:val="24"/>
          <w:szCs w:val="24"/>
        </w:rPr>
        <w:t>создает вид</w:t>
      </w:r>
      <w:r w:rsidR="00F05FFC" w:rsidRPr="006C7037">
        <w:rPr>
          <w:rFonts w:ascii="Times New Roman" w:hAnsi="Times New Roman" w:cs="Times New Roman"/>
          <w:sz w:val="24"/>
          <w:szCs w:val="24"/>
        </w:rPr>
        <w:t>и</w:t>
      </w:r>
      <w:r w:rsidR="00F05FFC" w:rsidRPr="006C7037">
        <w:rPr>
          <w:rFonts w:ascii="Times New Roman" w:hAnsi="Times New Roman" w:cs="Times New Roman"/>
          <w:sz w:val="24"/>
          <w:szCs w:val="24"/>
        </w:rPr>
        <w:t>мость того, что показатели структурно одинаковы, чем провоцирует однообразность упра</w:t>
      </w:r>
      <w:r w:rsidR="00F05FFC" w:rsidRPr="006C7037">
        <w:rPr>
          <w:rFonts w:ascii="Times New Roman" w:hAnsi="Times New Roman" w:cs="Times New Roman"/>
          <w:sz w:val="24"/>
          <w:szCs w:val="24"/>
        </w:rPr>
        <w:t>в</w:t>
      </w:r>
      <w:r w:rsidR="00F05FFC" w:rsidRPr="006C7037">
        <w:rPr>
          <w:rFonts w:ascii="Times New Roman" w:hAnsi="Times New Roman" w:cs="Times New Roman"/>
          <w:sz w:val="24"/>
          <w:szCs w:val="24"/>
        </w:rPr>
        <w:t>ленческих решений. Однако регионы – весьма разные. Чтобы в этом убедиться, далее ра</w:t>
      </w:r>
      <w:r w:rsidR="00F05FFC" w:rsidRPr="006C7037">
        <w:rPr>
          <w:rFonts w:ascii="Times New Roman" w:hAnsi="Times New Roman" w:cs="Times New Roman"/>
          <w:sz w:val="24"/>
          <w:szCs w:val="24"/>
        </w:rPr>
        <w:t>с</w:t>
      </w:r>
      <w:r w:rsidR="00F05FFC" w:rsidRPr="006C7037">
        <w:rPr>
          <w:rFonts w:ascii="Times New Roman" w:hAnsi="Times New Roman" w:cs="Times New Roman"/>
          <w:sz w:val="24"/>
          <w:szCs w:val="24"/>
        </w:rPr>
        <w:t>смотрим элементную структуру ВРП. Полагаем, что масштаб производства (и запасы его факторов) не является единственными и безальтернативным объяснением развития эконом</w:t>
      </w:r>
      <w:r w:rsidR="00F05FFC" w:rsidRPr="006C7037">
        <w:rPr>
          <w:rFonts w:ascii="Times New Roman" w:hAnsi="Times New Roman" w:cs="Times New Roman"/>
          <w:sz w:val="24"/>
          <w:szCs w:val="24"/>
        </w:rPr>
        <w:t>и</w:t>
      </w:r>
      <w:r w:rsidR="00F05FFC" w:rsidRPr="006C7037">
        <w:rPr>
          <w:rFonts w:ascii="Times New Roman" w:hAnsi="Times New Roman" w:cs="Times New Roman"/>
          <w:sz w:val="24"/>
          <w:szCs w:val="24"/>
        </w:rPr>
        <w:t>ки</w:t>
      </w:r>
      <w:r w:rsidR="00344978">
        <w:rPr>
          <w:rFonts w:ascii="Times New Roman" w:hAnsi="Times New Roman" w:cs="Times New Roman"/>
          <w:sz w:val="24"/>
          <w:szCs w:val="24"/>
        </w:rPr>
        <w:t xml:space="preserve"> и</w:t>
      </w:r>
      <w:r w:rsidR="00F05FFC" w:rsidRPr="006C7037">
        <w:rPr>
          <w:rFonts w:ascii="Times New Roman" w:hAnsi="Times New Roman" w:cs="Times New Roman"/>
          <w:sz w:val="24"/>
          <w:szCs w:val="24"/>
        </w:rPr>
        <w:t xml:space="preserve"> характера торговли. Полагаем, что характер торговли и ее следствия определяются та</w:t>
      </w:r>
      <w:r w:rsidR="00F05FFC" w:rsidRPr="006C7037">
        <w:rPr>
          <w:rFonts w:ascii="Times New Roman" w:hAnsi="Times New Roman" w:cs="Times New Roman"/>
          <w:sz w:val="24"/>
          <w:szCs w:val="24"/>
        </w:rPr>
        <w:t>к</w:t>
      </w:r>
      <w:r w:rsidR="00F05FFC" w:rsidRPr="006C7037">
        <w:rPr>
          <w:rFonts w:ascii="Times New Roman" w:hAnsi="Times New Roman" w:cs="Times New Roman"/>
          <w:sz w:val="24"/>
          <w:szCs w:val="24"/>
        </w:rPr>
        <w:t xml:space="preserve">же характером экономических процессов и изменяющейся рыночной структурой, выявив и </w:t>
      </w:r>
      <w:r w:rsidR="00F05FFC" w:rsidRPr="006C7037">
        <w:rPr>
          <w:rFonts w:ascii="Times New Roman" w:hAnsi="Times New Roman" w:cs="Times New Roman"/>
          <w:sz w:val="24"/>
          <w:szCs w:val="24"/>
        </w:rPr>
        <w:lastRenderedPageBreak/>
        <w:t>оценив которые сможем найти убедительную аугментацию для изменения стратегий разв</w:t>
      </w:r>
      <w:r w:rsidR="00F05FFC" w:rsidRPr="006C7037">
        <w:rPr>
          <w:rFonts w:ascii="Times New Roman" w:hAnsi="Times New Roman" w:cs="Times New Roman"/>
          <w:sz w:val="24"/>
          <w:szCs w:val="24"/>
        </w:rPr>
        <w:t>и</w:t>
      </w:r>
      <w:r w:rsidR="00F05FFC" w:rsidRPr="006C7037">
        <w:rPr>
          <w:rFonts w:ascii="Times New Roman" w:hAnsi="Times New Roman" w:cs="Times New Roman"/>
          <w:sz w:val="24"/>
          <w:szCs w:val="24"/>
        </w:rPr>
        <w:t xml:space="preserve">тия регионов в условиях трансформации экономического пространства. Для этого проведем анализ изменений пропорции «потребление-накопление» и тенденций развития отраслевых рынков, по нашему мнению, демонстрирующих структурную деформацию экономики.  </w:t>
      </w:r>
    </w:p>
    <w:p w:rsidR="00F05FFC" w:rsidRPr="006C7037" w:rsidRDefault="00F05FFC" w:rsidP="002C47D0">
      <w:pPr>
        <w:widowControl w:val="0"/>
        <w:spacing w:after="0" w:line="360" w:lineRule="auto"/>
        <w:ind w:firstLine="709"/>
        <w:jc w:val="both"/>
        <w:rPr>
          <w:rFonts w:ascii="Times New Roman" w:hAnsi="Times New Roman" w:cs="Times New Roman"/>
          <w:sz w:val="24"/>
          <w:szCs w:val="24"/>
        </w:rPr>
      </w:pPr>
      <w:r w:rsidRPr="006C7037">
        <w:rPr>
          <w:rFonts w:ascii="Times New Roman" w:hAnsi="Times New Roman" w:cs="Times New Roman"/>
          <w:sz w:val="24"/>
          <w:szCs w:val="24"/>
        </w:rPr>
        <w:t xml:space="preserve">Валовое накопление основного капитала характеризует инвестиционную деятельность и представляет собой вложение </w:t>
      </w:r>
      <w:r w:rsidR="000728BD" w:rsidRPr="006C7037">
        <w:rPr>
          <w:rFonts w:ascii="Times New Roman" w:hAnsi="Times New Roman" w:cs="Times New Roman"/>
          <w:sz w:val="24"/>
          <w:szCs w:val="24"/>
        </w:rPr>
        <w:t xml:space="preserve">средств </w:t>
      </w:r>
      <w:r w:rsidRPr="006C7037">
        <w:rPr>
          <w:rFonts w:ascii="Times New Roman" w:hAnsi="Times New Roman" w:cs="Times New Roman"/>
          <w:sz w:val="24"/>
          <w:szCs w:val="24"/>
        </w:rPr>
        <w:t>резидентными единицами в объект основного кап</w:t>
      </w:r>
      <w:r w:rsidRPr="006C7037">
        <w:rPr>
          <w:rFonts w:ascii="Times New Roman" w:hAnsi="Times New Roman" w:cs="Times New Roman"/>
          <w:sz w:val="24"/>
          <w:szCs w:val="24"/>
        </w:rPr>
        <w:t>и</w:t>
      </w:r>
      <w:r w:rsidRPr="006C7037">
        <w:rPr>
          <w:rFonts w:ascii="Times New Roman" w:hAnsi="Times New Roman" w:cs="Times New Roman"/>
          <w:sz w:val="24"/>
          <w:szCs w:val="24"/>
        </w:rPr>
        <w:t>тала для создания нового дохода в будущем путем использования их в производстве. Будем считать, что преобразование экономической ренты в инвестиции происходит одинаково для всех точек пространства. Следовательно, изменение инвестиционной компоненты ВРП пр</w:t>
      </w:r>
      <w:r w:rsidRPr="006C7037">
        <w:rPr>
          <w:rFonts w:ascii="Times New Roman" w:hAnsi="Times New Roman" w:cs="Times New Roman"/>
          <w:sz w:val="24"/>
          <w:szCs w:val="24"/>
        </w:rPr>
        <w:t>я</w:t>
      </w:r>
      <w:r w:rsidRPr="006C7037">
        <w:rPr>
          <w:rFonts w:ascii="Times New Roman" w:hAnsi="Times New Roman" w:cs="Times New Roman"/>
          <w:sz w:val="24"/>
          <w:szCs w:val="24"/>
        </w:rPr>
        <w:t xml:space="preserve">мо пропорционально изменению извлекаемой ренты. </w:t>
      </w:r>
    </w:p>
    <w:p w:rsidR="0062595D" w:rsidRDefault="0062595D" w:rsidP="00D763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рис.</w:t>
      </w:r>
      <w:r w:rsidR="00D76377">
        <w:rPr>
          <w:rFonts w:ascii="Times New Roman" w:hAnsi="Times New Roman" w:cs="Times New Roman"/>
          <w:sz w:val="24"/>
          <w:szCs w:val="24"/>
        </w:rPr>
        <w:t>1</w:t>
      </w:r>
      <w:r>
        <w:rPr>
          <w:rFonts w:ascii="Times New Roman" w:hAnsi="Times New Roman" w:cs="Times New Roman"/>
          <w:sz w:val="24"/>
          <w:szCs w:val="24"/>
        </w:rPr>
        <w:t xml:space="preserve"> представлены аппроксимации колебаний показателя «в</w:t>
      </w:r>
      <w:r w:rsidRPr="00914923">
        <w:rPr>
          <w:rFonts w:ascii="Times New Roman" w:hAnsi="Times New Roman" w:cs="Times New Roman"/>
          <w:sz w:val="24"/>
          <w:szCs w:val="24"/>
        </w:rPr>
        <w:t>аловое накопление основного капитала</w:t>
      </w:r>
      <w:r>
        <w:rPr>
          <w:rFonts w:ascii="Times New Roman" w:hAnsi="Times New Roman" w:cs="Times New Roman"/>
          <w:sz w:val="24"/>
          <w:szCs w:val="24"/>
        </w:rPr>
        <w:t xml:space="preserve">, </w:t>
      </w:r>
      <w:r w:rsidRPr="00914923">
        <w:rPr>
          <w:rFonts w:ascii="Times New Roman" w:hAnsi="Times New Roman" w:cs="Times New Roman"/>
          <w:sz w:val="24"/>
          <w:szCs w:val="24"/>
        </w:rPr>
        <w:t>в % к итогу</w:t>
      </w:r>
      <w:r>
        <w:rPr>
          <w:rFonts w:ascii="Times New Roman" w:hAnsi="Times New Roman" w:cs="Times New Roman"/>
          <w:sz w:val="24"/>
          <w:szCs w:val="24"/>
        </w:rPr>
        <w:t xml:space="preserve"> ВРП».</w:t>
      </w:r>
      <w:r w:rsidRPr="008E6831">
        <w:rPr>
          <w:rFonts w:ascii="Times New Roman" w:hAnsi="Times New Roman" w:cs="Times New Roman"/>
          <w:sz w:val="24"/>
          <w:szCs w:val="24"/>
        </w:rPr>
        <w:t xml:space="preserve"> </w:t>
      </w:r>
      <w:r w:rsidR="000061D9">
        <w:rPr>
          <w:rFonts w:ascii="Times New Roman" w:hAnsi="Times New Roman" w:cs="Times New Roman"/>
          <w:sz w:val="24"/>
          <w:szCs w:val="24"/>
        </w:rPr>
        <w:t>Данный показатель</w:t>
      </w:r>
      <w:r w:rsidRPr="00914923">
        <w:rPr>
          <w:rFonts w:ascii="Times New Roman" w:hAnsi="Times New Roman" w:cs="Times New Roman"/>
          <w:sz w:val="24"/>
          <w:szCs w:val="24"/>
        </w:rPr>
        <w:t xml:space="preserve"> характеризует инвестиционную деятельность</w:t>
      </w:r>
      <w:r w:rsidR="000061D9">
        <w:rPr>
          <w:rFonts w:ascii="Times New Roman" w:hAnsi="Times New Roman" w:cs="Times New Roman"/>
          <w:sz w:val="24"/>
          <w:szCs w:val="24"/>
        </w:rPr>
        <w:t xml:space="preserve"> и </w:t>
      </w:r>
      <w:r w:rsidRPr="00914923">
        <w:rPr>
          <w:rFonts w:ascii="Times New Roman" w:hAnsi="Times New Roman" w:cs="Times New Roman"/>
          <w:sz w:val="24"/>
          <w:szCs w:val="24"/>
        </w:rPr>
        <w:t>представляет вложение резидентными единицами средств в объект основного капитала для создания нового дохода в будущем путем использования их в производстве.</w:t>
      </w:r>
      <w:r>
        <w:rPr>
          <w:rFonts w:ascii="Times New Roman" w:hAnsi="Times New Roman" w:cs="Times New Roman"/>
          <w:sz w:val="24"/>
          <w:szCs w:val="24"/>
        </w:rPr>
        <w:t xml:space="preserve"> </w:t>
      </w:r>
    </w:p>
    <w:p w:rsidR="0062595D" w:rsidRDefault="0062595D" w:rsidP="00B476ED">
      <w:pPr>
        <w:jc w:val="center"/>
        <w:rPr>
          <w:rFonts w:ascii="Times New Roman" w:hAnsi="Times New Roman" w:cs="Times New Roman"/>
          <w:sz w:val="24"/>
          <w:szCs w:val="24"/>
        </w:rPr>
      </w:pPr>
      <w:r w:rsidRPr="00F26723">
        <w:rPr>
          <w:rFonts w:ascii="Times New Roman" w:hAnsi="Times New Roman" w:cs="Times New Roman"/>
          <w:noProof/>
          <w:sz w:val="24"/>
          <w:szCs w:val="24"/>
        </w:rPr>
        <w:drawing>
          <wp:inline distT="0" distB="0" distL="0" distR="0">
            <wp:extent cx="4925695" cy="2733675"/>
            <wp:effectExtent l="19050" t="0" r="27305"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595D" w:rsidRDefault="0062595D" w:rsidP="00DF2B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w:t>
      </w:r>
      <w:r w:rsidR="00DF2BEC">
        <w:rPr>
          <w:rFonts w:ascii="Times New Roman" w:hAnsi="Times New Roman" w:cs="Times New Roman"/>
          <w:sz w:val="24"/>
          <w:szCs w:val="24"/>
        </w:rPr>
        <w:t>унок</w:t>
      </w:r>
      <w:r>
        <w:rPr>
          <w:rFonts w:ascii="Times New Roman" w:hAnsi="Times New Roman" w:cs="Times New Roman"/>
          <w:sz w:val="24"/>
          <w:szCs w:val="24"/>
        </w:rPr>
        <w:t xml:space="preserve"> </w:t>
      </w:r>
      <w:r w:rsidR="00D76377">
        <w:rPr>
          <w:rFonts w:ascii="Times New Roman" w:hAnsi="Times New Roman" w:cs="Times New Roman"/>
          <w:sz w:val="24"/>
          <w:szCs w:val="24"/>
        </w:rPr>
        <w:t>1</w:t>
      </w:r>
      <w:r>
        <w:rPr>
          <w:rFonts w:ascii="Times New Roman" w:hAnsi="Times New Roman" w:cs="Times New Roman"/>
          <w:sz w:val="24"/>
          <w:szCs w:val="24"/>
        </w:rPr>
        <w:t xml:space="preserve"> - Аппроксимация колебаний показателя «в</w:t>
      </w:r>
      <w:r w:rsidRPr="00914923">
        <w:rPr>
          <w:rFonts w:ascii="Times New Roman" w:hAnsi="Times New Roman" w:cs="Times New Roman"/>
          <w:sz w:val="24"/>
          <w:szCs w:val="24"/>
        </w:rPr>
        <w:t>аловое накопление основного капитала</w:t>
      </w:r>
      <w:r>
        <w:rPr>
          <w:rFonts w:ascii="Times New Roman" w:hAnsi="Times New Roman" w:cs="Times New Roman"/>
          <w:sz w:val="24"/>
          <w:szCs w:val="24"/>
        </w:rPr>
        <w:t xml:space="preserve">, </w:t>
      </w:r>
      <w:r w:rsidRPr="00914923">
        <w:rPr>
          <w:rFonts w:ascii="Times New Roman" w:hAnsi="Times New Roman" w:cs="Times New Roman"/>
          <w:sz w:val="24"/>
          <w:szCs w:val="24"/>
        </w:rPr>
        <w:t>в % к итогу</w:t>
      </w:r>
      <w:r>
        <w:rPr>
          <w:rFonts w:ascii="Times New Roman" w:hAnsi="Times New Roman" w:cs="Times New Roman"/>
          <w:sz w:val="24"/>
          <w:szCs w:val="24"/>
        </w:rPr>
        <w:t xml:space="preserve">» по федеральным округам (использованы данные </w:t>
      </w:r>
      <w:r w:rsidRPr="00797F13">
        <w:rPr>
          <w:rFonts w:ascii="Times New Roman" w:hAnsi="Times New Roman" w:cs="Times New Roman"/>
          <w:sz w:val="24"/>
          <w:szCs w:val="24"/>
        </w:rPr>
        <w:t>федеральной службы госуда</w:t>
      </w:r>
      <w:r w:rsidRPr="00797F13">
        <w:rPr>
          <w:rFonts w:ascii="Times New Roman" w:hAnsi="Times New Roman" w:cs="Times New Roman"/>
          <w:sz w:val="24"/>
          <w:szCs w:val="24"/>
        </w:rPr>
        <w:t>р</w:t>
      </w:r>
      <w:r w:rsidRPr="00797F13">
        <w:rPr>
          <w:rFonts w:ascii="Times New Roman" w:hAnsi="Times New Roman" w:cs="Times New Roman"/>
          <w:sz w:val="24"/>
          <w:szCs w:val="24"/>
        </w:rPr>
        <w:t>ственной статистики)</w:t>
      </w:r>
    </w:p>
    <w:p w:rsidR="00BF1C52" w:rsidRDefault="00BF1C52" w:rsidP="00DF2BEC">
      <w:pPr>
        <w:spacing w:after="0" w:line="240" w:lineRule="auto"/>
        <w:jc w:val="center"/>
        <w:rPr>
          <w:rFonts w:ascii="Times New Roman" w:hAnsi="Times New Roman" w:cs="Times New Roman"/>
          <w:sz w:val="24"/>
          <w:szCs w:val="24"/>
        </w:rPr>
      </w:pPr>
    </w:p>
    <w:p w:rsidR="00D76377" w:rsidRPr="00D76377" w:rsidRDefault="00D76377" w:rsidP="00752FDA">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построении графика мы исходили из следующей гипотезы</w:t>
      </w:r>
      <w:r w:rsidRPr="008E6831">
        <w:rPr>
          <w:rFonts w:ascii="Times New Roman" w:hAnsi="Times New Roman" w:cs="Times New Roman"/>
          <w:sz w:val="24"/>
          <w:szCs w:val="24"/>
        </w:rPr>
        <w:t>: амплитуда показателя изменяется в соответствии с изменением инвестиционного процесса (в соответствии с фаз</w:t>
      </w:r>
      <w:r w:rsidRPr="008E6831">
        <w:rPr>
          <w:rFonts w:ascii="Times New Roman" w:hAnsi="Times New Roman" w:cs="Times New Roman"/>
          <w:sz w:val="24"/>
          <w:szCs w:val="24"/>
        </w:rPr>
        <w:t>а</w:t>
      </w:r>
      <w:r w:rsidRPr="008E6831">
        <w:rPr>
          <w:rFonts w:ascii="Times New Roman" w:hAnsi="Times New Roman" w:cs="Times New Roman"/>
          <w:sz w:val="24"/>
          <w:szCs w:val="24"/>
        </w:rPr>
        <w:t xml:space="preserve">ми </w:t>
      </w:r>
      <w:r>
        <w:rPr>
          <w:rFonts w:ascii="Times New Roman" w:hAnsi="Times New Roman" w:cs="Times New Roman"/>
          <w:sz w:val="24"/>
          <w:szCs w:val="24"/>
        </w:rPr>
        <w:t xml:space="preserve">обобщенного </w:t>
      </w:r>
      <w:r w:rsidRPr="008E6831">
        <w:rPr>
          <w:rFonts w:ascii="Times New Roman" w:hAnsi="Times New Roman" w:cs="Times New Roman"/>
          <w:sz w:val="24"/>
          <w:szCs w:val="24"/>
        </w:rPr>
        <w:t>бизнес-цикла). В отсутствие сигнала для инвестиционной активности а</w:t>
      </w:r>
      <w:r w:rsidRPr="008E6831">
        <w:rPr>
          <w:rFonts w:ascii="Times New Roman" w:hAnsi="Times New Roman" w:cs="Times New Roman"/>
          <w:sz w:val="24"/>
          <w:szCs w:val="24"/>
        </w:rPr>
        <w:t>м</w:t>
      </w:r>
      <w:r w:rsidRPr="008E6831">
        <w:rPr>
          <w:rFonts w:ascii="Times New Roman" w:hAnsi="Times New Roman" w:cs="Times New Roman"/>
          <w:sz w:val="24"/>
          <w:szCs w:val="24"/>
        </w:rPr>
        <w:t>плитуда уменьшается относительно своего немодулированного уровня в соответствии с п</w:t>
      </w:r>
      <w:r w:rsidRPr="008E6831">
        <w:rPr>
          <w:rFonts w:ascii="Times New Roman" w:hAnsi="Times New Roman" w:cs="Times New Roman"/>
          <w:sz w:val="24"/>
          <w:szCs w:val="24"/>
        </w:rPr>
        <w:t>а</w:t>
      </w:r>
      <w:r w:rsidRPr="008E6831">
        <w:rPr>
          <w:rFonts w:ascii="Times New Roman" w:hAnsi="Times New Roman" w:cs="Times New Roman"/>
          <w:sz w:val="24"/>
          <w:szCs w:val="24"/>
        </w:rPr>
        <w:t>дением модулирующего сигнала и</w:t>
      </w:r>
      <w:r>
        <w:rPr>
          <w:rFonts w:ascii="Times New Roman" w:hAnsi="Times New Roman" w:cs="Times New Roman"/>
          <w:sz w:val="24"/>
          <w:szCs w:val="24"/>
        </w:rPr>
        <w:t>,</w:t>
      </w:r>
      <w:r w:rsidRPr="008E6831">
        <w:rPr>
          <w:rFonts w:ascii="Times New Roman" w:hAnsi="Times New Roman" w:cs="Times New Roman"/>
          <w:sz w:val="24"/>
          <w:szCs w:val="24"/>
        </w:rPr>
        <w:t xml:space="preserve"> наоборот, чем больше амплитуда модулирующего сигн</w:t>
      </w:r>
      <w:r w:rsidRPr="008E6831">
        <w:rPr>
          <w:rFonts w:ascii="Times New Roman" w:hAnsi="Times New Roman" w:cs="Times New Roman"/>
          <w:sz w:val="24"/>
          <w:szCs w:val="24"/>
        </w:rPr>
        <w:t>а</w:t>
      </w:r>
      <w:r w:rsidRPr="008E6831">
        <w:rPr>
          <w:rFonts w:ascii="Times New Roman" w:hAnsi="Times New Roman" w:cs="Times New Roman"/>
          <w:sz w:val="24"/>
          <w:szCs w:val="24"/>
        </w:rPr>
        <w:t xml:space="preserve">ла, тем сильнее изменяется амплитуда показателя. </w:t>
      </w:r>
      <w:r>
        <w:rPr>
          <w:rFonts w:ascii="Times New Roman" w:hAnsi="Times New Roman" w:cs="Times New Roman"/>
          <w:sz w:val="24"/>
          <w:szCs w:val="24"/>
        </w:rPr>
        <w:t>М</w:t>
      </w:r>
      <w:r w:rsidRPr="008E6831">
        <w:rPr>
          <w:rFonts w:ascii="Times New Roman" w:hAnsi="Times New Roman" w:cs="Times New Roman"/>
          <w:sz w:val="24"/>
          <w:szCs w:val="24"/>
        </w:rPr>
        <w:t xml:space="preserve">одулированный показатель имеет </w:t>
      </w:r>
      <w:r>
        <w:rPr>
          <w:rFonts w:ascii="Times New Roman" w:hAnsi="Times New Roman" w:cs="Times New Roman"/>
          <w:sz w:val="24"/>
          <w:szCs w:val="24"/>
        </w:rPr>
        <w:t>а</w:t>
      </w:r>
      <w:r>
        <w:rPr>
          <w:rFonts w:ascii="Times New Roman" w:hAnsi="Times New Roman" w:cs="Times New Roman"/>
          <w:sz w:val="24"/>
          <w:szCs w:val="24"/>
        </w:rPr>
        <w:t>п</w:t>
      </w:r>
      <w:r>
        <w:rPr>
          <w:rFonts w:ascii="Times New Roman" w:hAnsi="Times New Roman" w:cs="Times New Roman"/>
          <w:sz w:val="24"/>
          <w:szCs w:val="24"/>
        </w:rPr>
        <w:t>проксимирующую линию,</w:t>
      </w:r>
      <w:r w:rsidRPr="008E6831">
        <w:rPr>
          <w:rFonts w:ascii="Times New Roman" w:hAnsi="Times New Roman" w:cs="Times New Roman"/>
          <w:sz w:val="24"/>
          <w:szCs w:val="24"/>
        </w:rPr>
        <w:t xml:space="preserve"> в точности повторяющую форму модулирующего сигнала</w:t>
      </w:r>
      <w:r>
        <w:rPr>
          <w:rFonts w:ascii="Times New Roman" w:hAnsi="Times New Roman" w:cs="Times New Roman"/>
          <w:sz w:val="24"/>
          <w:szCs w:val="24"/>
        </w:rPr>
        <w:t>. И</w:t>
      </w:r>
      <w:r w:rsidRPr="008E6831">
        <w:rPr>
          <w:rFonts w:ascii="Times New Roman" w:hAnsi="Times New Roman" w:cs="Times New Roman"/>
          <w:sz w:val="24"/>
          <w:szCs w:val="24"/>
        </w:rPr>
        <w:t>ме</w:t>
      </w:r>
      <w:r w:rsidRPr="008E6831">
        <w:rPr>
          <w:rFonts w:ascii="Times New Roman" w:hAnsi="Times New Roman" w:cs="Times New Roman"/>
          <w:sz w:val="24"/>
          <w:szCs w:val="24"/>
        </w:rPr>
        <w:t>н</w:t>
      </w:r>
      <w:r w:rsidRPr="008E6831">
        <w:rPr>
          <w:rFonts w:ascii="Times New Roman" w:hAnsi="Times New Roman" w:cs="Times New Roman"/>
          <w:sz w:val="24"/>
          <w:szCs w:val="24"/>
        </w:rPr>
        <w:lastRenderedPageBreak/>
        <w:t xml:space="preserve">но эта </w:t>
      </w:r>
      <w:r>
        <w:rPr>
          <w:rFonts w:ascii="Times New Roman" w:hAnsi="Times New Roman" w:cs="Times New Roman"/>
          <w:sz w:val="24"/>
          <w:szCs w:val="24"/>
        </w:rPr>
        <w:t>аппроксимация</w:t>
      </w:r>
      <w:r w:rsidRPr="008E6831">
        <w:rPr>
          <w:rFonts w:ascii="Times New Roman" w:hAnsi="Times New Roman" w:cs="Times New Roman"/>
          <w:sz w:val="24"/>
          <w:szCs w:val="24"/>
        </w:rPr>
        <w:t xml:space="preserve"> выделяется как полезный сигнал</w:t>
      </w:r>
      <w:r>
        <w:rPr>
          <w:rFonts w:ascii="Times New Roman" w:hAnsi="Times New Roman" w:cs="Times New Roman"/>
          <w:sz w:val="24"/>
          <w:szCs w:val="24"/>
        </w:rPr>
        <w:t>,</w:t>
      </w:r>
      <w:r w:rsidRPr="008E6831">
        <w:rPr>
          <w:rFonts w:ascii="Times New Roman" w:hAnsi="Times New Roman" w:cs="Times New Roman"/>
          <w:sz w:val="24"/>
          <w:szCs w:val="24"/>
        </w:rPr>
        <w:t xml:space="preserve"> который несет в себе информацию о </w:t>
      </w:r>
      <w:r w:rsidR="002A3461">
        <w:rPr>
          <w:rFonts w:ascii="Times New Roman" w:hAnsi="Times New Roman" w:cs="Times New Roman"/>
          <w:sz w:val="24"/>
          <w:szCs w:val="24"/>
        </w:rPr>
        <w:t>экономическом цикле и</w:t>
      </w:r>
      <w:r w:rsidR="000061D9">
        <w:rPr>
          <w:rFonts w:ascii="Times New Roman" w:hAnsi="Times New Roman" w:cs="Times New Roman"/>
          <w:sz w:val="24"/>
          <w:szCs w:val="24"/>
        </w:rPr>
        <w:t>л</w:t>
      </w:r>
      <w:r w:rsidR="002A3461">
        <w:rPr>
          <w:rFonts w:ascii="Times New Roman" w:hAnsi="Times New Roman" w:cs="Times New Roman"/>
          <w:sz w:val="24"/>
          <w:szCs w:val="24"/>
        </w:rPr>
        <w:t xml:space="preserve">и </w:t>
      </w:r>
      <w:r w:rsidRPr="008E6831">
        <w:rPr>
          <w:rFonts w:ascii="Times New Roman" w:hAnsi="Times New Roman" w:cs="Times New Roman"/>
          <w:sz w:val="24"/>
          <w:szCs w:val="24"/>
        </w:rPr>
        <w:t>бизнес-цикле (фаз</w:t>
      </w:r>
      <w:r>
        <w:rPr>
          <w:rFonts w:ascii="Times New Roman" w:hAnsi="Times New Roman" w:cs="Times New Roman"/>
          <w:sz w:val="24"/>
          <w:szCs w:val="24"/>
        </w:rPr>
        <w:t>е</w:t>
      </w:r>
      <w:r w:rsidRPr="008E6831">
        <w:rPr>
          <w:rFonts w:ascii="Times New Roman" w:hAnsi="Times New Roman" w:cs="Times New Roman"/>
          <w:sz w:val="24"/>
          <w:szCs w:val="24"/>
        </w:rPr>
        <w:t>, амплитуд</w:t>
      </w:r>
      <w:r>
        <w:rPr>
          <w:rFonts w:ascii="Times New Roman" w:hAnsi="Times New Roman" w:cs="Times New Roman"/>
          <w:sz w:val="24"/>
          <w:szCs w:val="24"/>
        </w:rPr>
        <w:t>е</w:t>
      </w:r>
      <w:r w:rsidRPr="008E6831">
        <w:rPr>
          <w:rFonts w:ascii="Times New Roman" w:hAnsi="Times New Roman" w:cs="Times New Roman"/>
          <w:sz w:val="24"/>
          <w:szCs w:val="24"/>
        </w:rPr>
        <w:t>, период</w:t>
      </w:r>
      <w:r>
        <w:rPr>
          <w:rFonts w:ascii="Times New Roman" w:hAnsi="Times New Roman" w:cs="Times New Roman"/>
          <w:sz w:val="24"/>
          <w:szCs w:val="24"/>
        </w:rPr>
        <w:t>е</w:t>
      </w:r>
      <w:r w:rsidRPr="008E6831">
        <w:rPr>
          <w:rFonts w:ascii="Times New Roman" w:hAnsi="Times New Roman" w:cs="Times New Roman"/>
          <w:sz w:val="24"/>
          <w:szCs w:val="24"/>
        </w:rPr>
        <w:t xml:space="preserve"> колебаний). </w:t>
      </w:r>
      <w:r>
        <w:rPr>
          <w:rFonts w:ascii="Times New Roman" w:hAnsi="Times New Roman" w:cs="Times New Roman"/>
          <w:sz w:val="24"/>
          <w:szCs w:val="24"/>
        </w:rPr>
        <w:t xml:space="preserve">В частности, по данным 2000-2013 гг. (в разрезе федеральных </w:t>
      </w:r>
      <w:r w:rsidRPr="008E6831">
        <w:rPr>
          <w:rFonts w:ascii="Times New Roman" w:hAnsi="Times New Roman" w:cs="Times New Roman"/>
          <w:sz w:val="24"/>
          <w:szCs w:val="24"/>
        </w:rPr>
        <w:t>округ</w:t>
      </w:r>
      <w:r>
        <w:rPr>
          <w:rFonts w:ascii="Times New Roman" w:hAnsi="Times New Roman" w:cs="Times New Roman"/>
          <w:sz w:val="24"/>
          <w:szCs w:val="24"/>
        </w:rPr>
        <w:t>ов) д</w:t>
      </w:r>
      <w:r w:rsidRPr="008E6831">
        <w:rPr>
          <w:rFonts w:ascii="Times New Roman" w:hAnsi="Times New Roman" w:cs="Times New Roman"/>
          <w:sz w:val="24"/>
          <w:szCs w:val="24"/>
        </w:rPr>
        <w:t>анный период</w:t>
      </w:r>
      <w:r>
        <w:rPr>
          <w:rFonts w:ascii="Times New Roman" w:hAnsi="Times New Roman" w:cs="Times New Roman"/>
          <w:sz w:val="24"/>
          <w:szCs w:val="24"/>
        </w:rPr>
        <w:t>,</w:t>
      </w:r>
      <w:r w:rsidRPr="008E6831">
        <w:rPr>
          <w:rFonts w:ascii="Times New Roman" w:hAnsi="Times New Roman" w:cs="Times New Roman"/>
          <w:sz w:val="24"/>
          <w:szCs w:val="24"/>
        </w:rPr>
        <w:t xml:space="preserve"> </w:t>
      </w:r>
      <w:r>
        <w:rPr>
          <w:rFonts w:ascii="Times New Roman" w:hAnsi="Times New Roman" w:cs="Times New Roman"/>
          <w:sz w:val="24"/>
          <w:szCs w:val="24"/>
        </w:rPr>
        <w:t>по нашим расч</w:t>
      </w:r>
      <w:r>
        <w:rPr>
          <w:rFonts w:ascii="Times New Roman" w:hAnsi="Times New Roman" w:cs="Times New Roman"/>
          <w:sz w:val="24"/>
          <w:szCs w:val="24"/>
        </w:rPr>
        <w:t>е</w:t>
      </w:r>
      <w:r>
        <w:rPr>
          <w:rFonts w:ascii="Times New Roman" w:hAnsi="Times New Roman" w:cs="Times New Roman"/>
          <w:sz w:val="24"/>
          <w:szCs w:val="24"/>
        </w:rPr>
        <w:t>там,</w:t>
      </w:r>
      <w:r w:rsidRPr="008E6831">
        <w:rPr>
          <w:rFonts w:ascii="Times New Roman" w:hAnsi="Times New Roman" w:cs="Times New Roman"/>
          <w:sz w:val="24"/>
          <w:szCs w:val="24"/>
        </w:rPr>
        <w:t xml:space="preserve"> </w:t>
      </w:r>
      <w:r>
        <w:rPr>
          <w:rFonts w:ascii="Times New Roman" w:hAnsi="Times New Roman" w:cs="Times New Roman"/>
          <w:sz w:val="24"/>
          <w:szCs w:val="24"/>
        </w:rPr>
        <w:t>должен составлять</w:t>
      </w:r>
      <w:r w:rsidRPr="008E6831">
        <w:rPr>
          <w:rFonts w:ascii="Times New Roman" w:hAnsi="Times New Roman" w:cs="Times New Roman"/>
          <w:sz w:val="24"/>
          <w:szCs w:val="24"/>
        </w:rPr>
        <w:t xml:space="preserve"> от 15 до 25 лет. Разница интервал</w:t>
      </w:r>
      <w:r>
        <w:rPr>
          <w:rFonts w:ascii="Times New Roman" w:hAnsi="Times New Roman" w:cs="Times New Roman"/>
          <w:sz w:val="24"/>
          <w:szCs w:val="24"/>
        </w:rPr>
        <w:t>ов</w:t>
      </w:r>
      <w:r w:rsidRPr="008E6831">
        <w:rPr>
          <w:rFonts w:ascii="Times New Roman" w:hAnsi="Times New Roman" w:cs="Times New Roman"/>
          <w:sz w:val="24"/>
          <w:szCs w:val="24"/>
        </w:rPr>
        <w:t xml:space="preserve"> периода зависит по нашему мн</w:t>
      </w:r>
      <w:r w:rsidRPr="008E6831">
        <w:rPr>
          <w:rFonts w:ascii="Times New Roman" w:hAnsi="Times New Roman" w:cs="Times New Roman"/>
          <w:sz w:val="24"/>
          <w:szCs w:val="24"/>
        </w:rPr>
        <w:t>е</w:t>
      </w:r>
      <w:r w:rsidRPr="008E6831">
        <w:rPr>
          <w:rFonts w:ascii="Times New Roman" w:hAnsi="Times New Roman" w:cs="Times New Roman"/>
          <w:sz w:val="24"/>
          <w:szCs w:val="24"/>
        </w:rPr>
        <w:t>нию от того, какая промышленная база составляет ядро округа. Так наличие пирометаллу</w:t>
      </w:r>
      <w:r w:rsidRPr="008E6831">
        <w:rPr>
          <w:rFonts w:ascii="Times New Roman" w:hAnsi="Times New Roman" w:cs="Times New Roman"/>
          <w:sz w:val="24"/>
          <w:szCs w:val="24"/>
        </w:rPr>
        <w:t>р</w:t>
      </w:r>
      <w:r w:rsidRPr="008E6831">
        <w:rPr>
          <w:rFonts w:ascii="Times New Roman" w:hAnsi="Times New Roman" w:cs="Times New Roman"/>
          <w:sz w:val="24"/>
          <w:szCs w:val="24"/>
        </w:rPr>
        <w:t>гического энерго</w:t>
      </w:r>
      <w:r w:rsidRPr="00D76377">
        <w:rPr>
          <w:rFonts w:ascii="Times New Roman" w:hAnsi="Times New Roman" w:cs="Times New Roman"/>
          <w:sz w:val="24"/>
          <w:szCs w:val="24"/>
        </w:rPr>
        <w:t>-</w:t>
      </w:r>
      <w:r w:rsidRPr="008E6831">
        <w:rPr>
          <w:rFonts w:ascii="Times New Roman" w:hAnsi="Times New Roman" w:cs="Times New Roman"/>
          <w:sz w:val="24"/>
          <w:szCs w:val="24"/>
        </w:rPr>
        <w:t>производственн</w:t>
      </w:r>
      <w:r>
        <w:rPr>
          <w:rFonts w:ascii="Times New Roman" w:hAnsi="Times New Roman" w:cs="Times New Roman"/>
          <w:sz w:val="24"/>
          <w:szCs w:val="24"/>
        </w:rPr>
        <w:t>ого цикла увеличивает данный интервал</w:t>
      </w:r>
      <w:r w:rsidRPr="008E6831">
        <w:rPr>
          <w:rFonts w:ascii="Times New Roman" w:hAnsi="Times New Roman" w:cs="Times New Roman"/>
          <w:sz w:val="24"/>
          <w:szCs w:val="24"/>
        </w:rPr>
        <w:t xml:space="preserve">. </w:t>
      </w:r>
    </w:p>
    <w:p w:rsidR="00E375F5" w:rsidRDefault="00E375F5" w:rsidP="009B73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Графики </w:t>
      </w:r>
      <w:r w:rsidR="00DF2BEC">
        <w:rPr>
          <w:rFonts w:ascii="Times New Roman" w:hAnsi="Times New Roman" w:cs="Times New Roman"/>
          <w:sz w:val="24"/>
          <w:szCs w:val="24"/>
        </w:rPr>
        <w:t>(</w:t>
      </w:r>
      <w:r>
        <w:rPr>
          <w:rFonts w:ascii="Times New Roman" w:hAnsi="Times New Roman" w:cs="Times New Roman"/>
          <w:sz w:val="24"/>
          <w:szCs w:val="24"/>
        </w:rPr>
        <w:t xml:space="preserve">рис. </w:t>
      </w:r>
      <w:r w:rsidR="00D76377">
        <w:rPr>
          <w:rFonts w:ascii="Times New Roman" w:hAnsi="Times New Roman" w:cs="Times New Roman"/>
          <w:sz w:val="24"/>
          <w:szCs w:val="24"/>
        </w:rPr>
        <w:t>1</w:t>
      </w:r>
      <w:r w:rsidR="00DF2BEC">
        <w:rPr>
          <w:rFonts w:ascii="Times New Roman" w:hAnsi="Times New Roman" w:cs="Times New Roman"/>
          <w:sz w:val="24"/>
          <w:szCs w:val="24"/>
        </w:rPr>
        <w:t>)</w:t>
      </w:r>
      <w:r>
        <w:rPr>
          <w:rFonts w:ascii="Times New Roman" w:hAnsi="Times New Roman" w:cs="Times New Roman"/>
          <w:sz w:val="24"/>
          <w:szCs w:val="24"/>
        </w:rPr>
        <w:t xml:space="preserve"> показывают, что макроструктурные изменения (линия «Российская федерация») идут так, как указывают исследования ЦСР (представленные в журнале «Эк</w:t>
      </w:r>
      <w:r>
        <w:rPr>
          <w:rFonts w:ascii="Times New Roman" w:hAnsi="Times New Roman" w:cs="Times New Roman"/>
          <w:sz w:val="24"/>
          <w:szCs w:val="24"/>
        </w:rPr>
        <w:t>с</w:t>
      </w:r>
      <w:r>
        <w:rPr>
          <w:rFonts w:ascii="Times New Roman" w:hAnsi="Times New Roman" w:cs="Times New Roman"/>
          <w:sz w:val="24"/>
          <w:szCs w:val="24"/>
        </w:rPr>
        <w:t xml:space="preserve">перт»). В частности </w:t>
      </w:r>
      <w:r w:rsidR="000061D9">
        <w:rPr>
          <w:rFonts w:ascii="Times New Roman" w:hAnsi="Times New Roman" w:cs="Times New Roman"/>
          <w:sz w:val="24"/>
          <w:szCs w:val="24"/>
        </w:rPr>
        <w:t>ЦСР</w:t>
      </w:r>
      <w:r>
        <w:rPr>
          <w:rFonts w:ascii="Times New Roman" w:hAnsi="Times New Roman" w:cs="Times New Roman"/>
          <w:sz w:val="24"/>
          <w:szCs w:val="24"/>
        </w:rPr>
        <w:t xml:space="preserve"> считает, что следует ожидать структурные изменения</w:t>
      </w:r>
      <w:r w:rsidRPr="00E375F5">
        <w:rPr>
          <w:rFonts w:ascii="Times New Roman" w:hAnsi="Times New Roman" w:cs="Times New Roman"/>
          <w:sz w:val="24"/>
          <w:szCs w:val="24"/>
        </w:rPr>
        <w:t xml:space="preserve"> [1]</w:t>
      </w:r>
      <w:r>
        <w:rPr>
          <w:rFonts w:ascii="Times New Roman" w:hAnsi="Times New Roman" w:cs="Times New Roman"/>
          <w:sz w:val="24"/>
          <w:szCs w:val="24"/>
        </w:rPr>
        <w:t>. В то же время фазы обобщенного бизнес-цикла по округам не совпадают по фазе. Так Приволжский, Уральский и Сибирский округа находятся в стабильной фазе, Южный и Центральный - в ф</w:t>
      </w:r>
      <w:r>
        <w:rPr>
          <w:rFonts w:ascii="Times New Roman" w:hAnsi="Times New Roman" w:cs="Times New Roman"/>
          <w:sz w:val="24"/>
          <w:szCs w:val="24"/>
        </w:rPr>
        <w:t>а</w:t>
      </w:r>
      <w:r>
        <w:rPr>
          <w:rFonts w:ascii="Times New Roman" w:hAnsi="Times New Roman" w:cs="Times New Roman"/>
          <w:sz w:val="24"/>
          <w:szCs w:val="24"/>
        </w:rPr>
        <w:t>зе подъема, а Северо-Западный и Дальневосточный – в фазе спада бизнес-цикла. Это ведет к тому, что концентрация инвестиционных ресурсов будет вымываться из северной и восто</w:t>
      </w:r>
      <w:r>
        <w:rPr>
          <w:rFonts w:ascii="Times New Roman" w:hAnsi="Times New Roman" w:cs="Times New Roman"/>
          <w:sz w:val="24"/>
          <w:szCs w:val="24"/>
        </w:rPr>
        <w:t>ч</w:t>
      </w:r>
      <w:r>
        <w:rPr>
          <w:rFonts w:ascii="Times New Roman" w:hAnsi="Times New Roman" w:cs="Times New Roman"/>
          <w:sz w:val="24"/>
          <w:szCs w:val="24"/>
        </w:rPr>
        <w:t xml:space="preserve">ной периферии. В то же время территории страны – это не конкуренты, а составные части единого экономического пространства, объединенного </w:t>
      </w:r>
      <w:r w:rsidRPr="00EE1A58">
        <w:rPr>
          <w:rFonts w:ascii="Times New Roman" w:hAnsi="Times New Roman" w:cs="Times New Roman"/>
          <w:color w:val="000000"/>
          <w:sz w:val="24"/>
          <w:szCs w:val="24"/>
        </w:rPr>
        <w:t xml:space="preserve">общими социально-экономическими интересами </w:t>
      </w:r>
      <w:r>
        <w:rPr>
          <w:rFonts w:ascii="Times New Roman" w:hAnsi="Times New Roman" w:cs="Times New Roman"/>
          <w:color w:val="000000"/>
          <w:sz w:val="24"/>
          <w:szCs w:val="24"/>
        </w:rPr>
        <w:t>и стратегией страны в целом. В то же время г</w:t>
      </w:r>
      <w:r w:rsidRPr="00A04524">
        <w:rPr>
          <w:rFonts w:ascii="Times New Roman" w:hAnsi="Times New Roman" w:cs="Times New Roman"/>
          <w:sz w:val="24"/>
          <w:szCs w:val="24"/>
        </w:rPr>
        <w:t>лобальная трансформация</w:t>
      </w:r>
      <w:r>
        <w:rPr>
          <w:rFonts w:ascii="Times New Roman" w:hAnsi="Times New Roman" w:cs="Times New Roman"/>
          <w:sz w:val="24"/>
          <w:szCs w:val="24"/>
        </w:rPr>
        <w:t xml:space="preserve"> </w:t>
      </w:r>
      <w:r w:rsidRPr="00A04524">
        <w:rPr>
          <w:rFonts w:ascii="Times New Roman" w:hAnsi="Times New Roman" w:cs="Times New Roman"/>
          <w:sz w:val="24"/>
          <w:szCs w:val="24"/>
        </w:rPr>
        <w:t xml:space="preserve">таит в себе реальную возможность смены функций региона </w:t>
      </w:r>
      <w:r>
        <w:rPr>
          <w:rFonts w:ascii="Times New Roman" w:hAnsi="Times New Roman" w:cs="Times New Roman"/>
          <w:sz w:val="24"/>
          <w:szCs w:val="24"/>
        </w:rPr>
        <w:t xml:space="preserve">(вопреки стратегии страны) </w:t>
      </w:r>
      <w:r w:rsidRPr="00A04524">
        <w:rPr>
          <w:rFonts w:ascii="Times New Roman" w:hAnsi="Times New Roman" w:cs="Times New Roman"/>
          <w:sz w:val="24"/>
          <w:szCs w:val="24"/>
        </w:rPr>
        <w:t>и возни</w:t>
      </w:r>
      <w:r w:rsidRPr="00A04524">
        <w:rPr>
          <w:rFonts w:ascii="Times New Roman" w:hAnsi="Times New Roman" w:cs="Times New Roman"/>
          <w:sz w:val="24"/>
          <w:szCs w:val="24"/>
        </w:rPr>
        <w:t>к</w:t>
      </w:r>
      <w:r w:rsidRPr="00A04524">
        <w:rPr>
          <w:rFonts w:ascii="Times New Roman" w:hAnsi="Times New Roman" w:cs="Times New Roman"/>
          <w:sz w:val="24"/>
          <w:szCs w:val="24"/>
        </w:rPr>
        <w:t>новения системного кризиса</w:t>
      </w:r>
      <w:r>
        <w:rPr>
          <w:rFonts w:ascii="Times New Roman" w:hAnsi="Times New Roman" w:cs="Times New Roman"/>
          <w:sz w:val="24"/>
          <w:szCs w:val="24"/>
        </w:rPr>
        <w:t xml:space="preserve"> (вопреки стратегии региона) </w:t>
      </w:r>
      <w:r w:rsidRPr="00A04524">
        <w:rPr>
          <w:rFonts w:ascii="Times New Roman" w:hAnsi="Times New Roman" w:cs="Times New Roman"/>
          <w:sz w:val="24"/>
          <w:szCs w:val="24"/>
        </w:rPr>
        <w:t>в результате эндогенных дисбала</w:t>
      </w:r>
      <w:r w:rsidRPr="00A04524">
        <w:rPr>
          <w:rFonts w:ascii="Times New Roman" w:hAnsi="Times New Roman" w:cs="Times New Roman"/>
          <w:sz w:val="24"/>
          <w:szCs w:val="24"/>
        </w:rPr>
        <w:t>н</w:t>
      </w:r>
      <w:r w:rsidRPr="00A04524">
        <w:rPr>
          <w:rFonts w:ascii="Times New Roman" w:hAnsi="Times New Roman" w:cs="Times New Roman"/>
          <w:sz w:val="24"/>
          <w:szCs w:val="24"/>
        </w:rPr>
        <w:t xml:space="preserve">сов отраслевых рынков и всей региональной экономической системы. </w:t>
      </w:r>
    </w:p>
    <w:p w:rsidR="00752FDA" w:rsidRDefault="0062595D" w:rsidP="009B73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примере СЗФО рассмотрим </w:t>
      </w:r>
      <w:r w:rsidRPr="00C00E9F">
        <w:rPr>
          <w:rFonts w:ascii="Times New Roman" w:hAnsi="Times New Roman" w:cs="Times New Roman"/>
          <w:sz w:val="24"/>
          <w:szCs w:val="24"/>
        </w:rPr>
        <w:t>структурн</w:t>
      </w:r>
      <w:r>
        <w:rPr>
          <w:rFonts w:ascii="Times New Roman" w:hAnsi="Times New Roman" w:cs="Times New Roman"/>
          <w:sz w:val="24"/>
          <w:szCs w:val="24"/>
        </w:rPr>
        <w:t>ую</w:t>
      </w:r>
      <w:r w:rsidRPr="00C00E9F">
        <w:rPr>
          <w:rFonts w:ascii="Times New Roman" w:hAnsi="Times New Roman" w:cs="Times New Roman"/>
          <w:sz w:val="24"/>
          <w:szCs w:val="24"/>
        </w:rPr>
        <w:t xml:space="preserve"> деформаци</w:t>
      </w:r>
      <w:r>
        <w:rPr>
          <w:rFonts w:ascii="Times New Roman" w:hAnsi="Times New Roman" w:cs="Times New Roman"/>
          <w:sz w:val="24"/>
          <w:szCs w:val="24"/>
        </w:rPr>
        <w:t>ю</w:t>
      </w:r>
      <w:r w:rsidRPr="00C00E9F">
        <w:rPr>
          <w:rFonts w:ascii="Times New Roman" w:hAnsi="Times New Roman" w:cs="Times New Roman"/>
          <w:sz w:val="24"/>
          <w:szCs w:val="24"/>
        </w:rPr>
        <w:t xml:space="preserve"> экономики моноцентрич</w:t>
      </w:r>
      <w:r w:rsidRPr="00C00E9F">
        <w:rPr>
          <w:rFonts w:ascii="Times New Roman" w:hAnsi="Times New Roman" w:cs="Times New Roman"/>
          <w:sz w:val="24"/>
          <w:szCs w:val="24"/>
        </w:rPr>
        <w:t>е</w:t>
      </w:r>
      <w:r w:rsidRPr="00C00E9F">
        <w:rPr>
          <w:rFonts w:ascii="Times New Roman" w:hAnsi="Times New Roman" w:cs="Times New Roman"/>
          <w:sz w:val="24"/>
          <w:szCs w:val="24"/>
        </w:rPr>
        <w:t>ского макрорегиона</w:t>
      </w:r>
      <w:r>
        <w:rPr>
          <w:rFonts w:ascii="Times New Roman" w:hAnsi="Times New Roman" w:cs="Times New Roman"/>
          <w:sz w:val="24"/>
          <w:szCs w:val="24"/>
        </w:rPr>
        <w:t xml:space="preserve"> и ее негативные последствия для периферийных регионов. На рис. </w:t>
      </w:r>
      <w:r w:rsidR="00D76377">
        <w:rPr>
          <w:rFonts w:ascii="Times New Roman" w:hAnsi="Times New Roman" w:cs="Times New Roman"/>
          <w:sz w:val="24"/>
          <w:szCs w:val="24"/>
        </w:rPr>
        <w:t>2</w:t>
      </w:r>
      <w:r>
        <w:rPr>
          <w:rFonts w:ascii="Times New Roman" w:hAnsi="Times New Roman" w:cs="Times New Roman"/>
          <w:sz w:val="24"/>
          <w:szCs w:val="24"/>
        </w:rPr>
        <w:t xml:space="preserve"> представлены аппроксимации - </w:t>
      </w:r>
      <w:r w:rsidRPr="008E6831">
        <w:rPr>
          <w:rFonts w:ascii="Times New Roman" w:hAnsi="Times New Roman" w:cs="Times New Roman"/>
          <w:sz w:val="24"/>
          <w:szCs w:val="24"/>
        </w:rPr>
        <w:t>модулирующ</w:t>
      </w:r>
      <w:r>
        <w:rPr>
          <w:rFonts w:ascii="Times New Roman" w:hAnsi="Times New Roman" w:cs="Times New Roman"/>
          <w:sz w:val="24"/>
          <w:szCs w:val="24"/>
        </w:rPr>
        <w:t>ие</w:t>
      </w:r>
      <w:r w:rsidRPr="008E6831">
        <w:rPr>
          <w:rFonts w:ascii="Times New Roman" w:hAnsi="Times New Roman" w:cs="Times New Roman"/>
          <w:sz w:val="24"/>
          <w:szCs w:val="24"/>
        </w:rPr>
        <w:t xml:space="preserve"> сигнал</w:t>
      </w:r>
      <w:r>
        <w:rPr>
          <w:rFonts w:ascii="Times New Roman" w:hAnsi="Times New Roman" w:cs="Times New Roman"/>
          <w:sz w:val="24"/>
          <w:szCs w:val="24"/>
        </w:rPr>
        <w:t>ы, информирующие о фазе бизнес-цикла в регионах СЗФО</w:t>
      </w:r>
      <w:r w:rsidRPr="00914923">
        <w:rPr>
          <w:rFonts w:ascii="Times New Roman" w:hAnsi="Times New Roman" w:cs="Times New Roman"/>
          <w:sz w:val="24"/>
          <w:szCs w:val="24"/>
        </w:rPr>
        <w:t>.</w:t>
      </w:r>
      <w:r>
        <w:rPr>
          <w:rFonts w:ascii="Times New Roman" w:hAnsi="Times New Roman" w:cs="Times New Roman"/>
          <w:sz w:val="24"/>
          <w:szCs w:val="24"/>
        </w:rPr>
        <w:t xml:space="preserve"> </w:t>
      </w:r>
    </w:p>
    <w:p w:rsidR="0062595D" w:rsidRDefault="0062595D" w:rsidP="00B476ED">
      <w:pPr>
        <w:autoSpaceDE w:val="0"/>
        <w:autoSpaceDN w:val="0"/>
        <w:adjustRightInd w:val="0"/>
        <w:spacing w:after="0" w:line="240" w:lineRule="auto"/>
        <w:jc w:val="center"/>
        <w:rPr>
          <w:rFonts w:ascii="Times New Roman" w:hAnsi="Times New Roman" w:cs="Times New Roman"/>
          <w:sz w:val="24"/>
          <w:szCs w:val="24"/>
        </w:rPr>
      </w:pPr>
      <w:r w:rsidRPr="00F26723">
        <w:rPr>
          <w:rFonts w:ascii="Times New Roman" w:hAnsi="Times New Roman" w:cs="Times New Roman"/>
          <w:noProof/>
          <w:sz w:val="24"/>
          <w:szCs w:val="24"/>
        </w:rPr>
        <w:drawing>
          <wp:inline distT="0" distB="0" distL="0" distR="0">
            <wp:extent cx="4984750" cy="2590800"/>
            <wp:effectExtent l="19050" t="0" r="25400"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1E8E" w:rsidRDefault="00031E8E" w:rsidP="00FB4A80">
      <w:pPr>
        <w:spacing w:after="0" w:line="240" w:lineRule="auto"/>
        <w:jc w:val="center"/>
        <w:rPr>
          <w:rFonts w:ascii="Times New Roman" w:hAnsi="Times New Roman" w:cs="Times New Roman"/>
          <w:sz w:val="24"/>
          <w:szCs w:val="24"/>
        </w:rPr>
      </w:pPr>
    </w:p>
    <w:p w:rsidR="00E33D82" w:rsidRDefault="0062595D" w:rsidP="00FB4A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w:t>
      </w:r>
      <w:r w:rsidR="00DF2BEC">
        <w:rPr>
          <w:rFonts w:ascii="Times New Roman" w:hAnsi="Times New Roman" w:cs="Times New Roman"/>
          <w:sz w:val="24"/>
          <w:szCs w:val="24"/>
        </w:rPr>
        <w:t>унок</w:t>
      </w:r>
      <w:r>
        <w:rPr>
          <w:rFonts w:ascii="Times New Roman" w:hAnsi="Times New Roman" w:cs="Times New Roman"/>
          <w:sz w:val="24"/>
          <w:szCs w:val="24"/>
        </w:rPr>
        <w:t xml:space="preserve"> </w:t>
      </w:r>
      <w:r w:rsidR="00D76377">
        <w:rPr>
          <w:rFonts w:ascii="Times New Roman" w:hAnsi="Times New Roman" w:cs="Times New Roman"/>
          <w:sz w:val="24"/>
          <w:szCs w:val="24"/>
        </w:rPr>
        <w:t>2</w:t>
      </w:r>
      <w:r>
        <w:rPr>
          <w:rFonts w:ascii="Times New Roman" w:hAnsi="Times New Roman" w:cs="Times New Roman"/>
          <w:sz w:val="24"/>
          <w:szCs w:val="24"/>
        </w:rPr>
        <w:t xml:space="preserve"> - Аппроксимация колебаний показателя «в</w:t>
      </w:r>
      <w:r w:rsidRPr="00914923">
        <w:rPr>
          <w:rFonts w:ascii="Times New Roman" w:hAnsi="Times New Roman" w:cs="Times New Roman"/>
          <w:sz w:val="24"/>
          <w:szCs w:val="24"/>
        </w:rPr>
        <w:t>аловое накопление основного капитала</w:t>
      </w:r>
      <w:r>
        <w:rPr>
          <w:rFonts w:ascii="Times New Roman" w:hAnsi="Times New Roman" w:cs="Times New Roman"/>
          <w:sz w:val="24"/>
          <w:szCs w:val="24"/>
        </w:rPr>
        <w:t xml:space="preserve">, </w:t>
      </w:r>
      <w:r w:rsidRPr="00914923">
        <w:rPr>
          <w:rFonts w:ascii="Times New Roman" w:hAnsi="Times New Roman" w:cs="Times New Roman"/>
          <w:sz w:val="24"/>
          <w:szCs w:val="24"/>
        </w:rPr>
        <w:t>в % к итогу</w:t>
      </w:r>
      <w:r>
        <w:rPr>
          <w:rFonts w:ascii="Times New Roman" w:hAnsi="Times New Roman" w:cs="Times New Roman"/>
          <w:sz w:val="24"/>
          <w:szCs w:val="24"/>
        </w:rPr>
        <w:t>» по регионам СЗФО</w:t>
      </w:r>
    </w:p>
    <w:p w:rsidR="002C47D0" w:rsidRPr="00756816" w:rsidRDefault="002C47D0" w:rsidP="00E33D82">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 нашему мнению и</w:t>
      </w:r>
      <w:r w:rsidRPr="00082134">
        <w:rPr>
          <w:rFonts w:ascii="Times New Roman" w:hAnsi="Times New Roman" w:cs="Times New Roman"/>
          <w:sz w:val="24"/>
          <w:szCs w:val="24"/>
        </w:rPr>
        <w:t>нвестиционная часть капитала уходит не только в другие отра</w:t>
      </w:r>
      <w:r w:rsidRPr="00082134">
        <w:rPr>
          <w:rFonts w:ascii="Times New Roman" w:hAnsi="Times New Roman" w:cs="Times New Roman"/>
          <w:sz w:val="24"/>
          <w:szCs w:val="24"/>
        </w:rPr>
        <w:t>с</w:t>
      </w:r>
      <w:r w:rsidRPr="00082134">
        <w:rPr>
          <w:rFonts w:ascii="Times New Roman" w:hAnsi="Times New Roman" w:cs="Times New Roman"/>
          <w:sz w:val="24"/>
          <w:szCs w:val="24"/>
        </w:rPr>
        <w:t>ли</w:t>
      </w:r>
      <w:r>
        <w:rPr>
          <w:rFonts w:ascii="Times New Roman" w:hAnsi="Times New Roman" w:cs="Times New Roman"/>
          <w:sz w:val="24"/>
          <w:szCs w:val="24"/>
        </w:rPr>
        <w:t xml:space="preserve"> (в добычу полезных ископаемых, как это происходит в Республике Коми и Мурманской области)</w:t>
      </w:r>
      <w:r w:rsidRPr="00082134">
        <w:rPr>
          <w:rFonts w:ascii="Times New Roman" w:hAnsi="Times New Roman" w:cs="Times New Roman"/>
          <w:sz w:val="24"/>
          <w:szCs w:val="24"/>
        </w:rPr>
        <w:t>, но и из дискриминационных регионов в другие регионы</w:t>
      </w:r>
      <w:r>
        <w:rPr>
          <w:rFonts w:ascii="Times New Roman" w:hAnsi="Times New Roman" w:cs="Times New Roman"/>
          <w:sz w:val="24"/>
          <w:szCs w:val="24"/>
        </w:rPr>
        <w:t xml:space="preserve"> (в Санкт-Петербургскую и Московскую агломерации) и страны. </w:t>
      </w:r>
      <w:r w:rsidRPr="00082134">
        <w:rPr>
          <w:rFonts w:ascii="Times New Roman" w:hAnsi="Times New Roman" w:cs="Times New Roman"/>
          <w:sz w:val="24"/>
          <w:szCs w:val="24"/>
        </w:rPr>
        <w:t xml:space="preserve">При этом политика диверсификации и действующая инвестиционная политика в периферии в условиях </w:t>
      </w:r>
      <w:r>
        <w:rPr>
          <w:rFonts w:ascii="Times New Roman" w:hAnsi="Times New Roman" w:cs="Times New Roman"/>
          <w:sz w:val="24"/>
          <w:szCs w:val="24"/>
        </w:rPr>
        <w:t>дисбаланса рынков</w:t>
      </w:r>
      <w:r w:rsidRPr="00082134">
        <w:rPr>
          <w:rFonts w:ascii="Times New Roman" w:hAnsi="Times New Roman" w:cs="Times New Roman"/>
          <w:sz w:val="24"/>
          <w:szCs w:val="24"/>
        </w:rPr>
        <w:t xml:space="preserve"> как метод их нейтр</w:t>
      </w:r>
      <w:r w:rsidRPr="00082134">
        <w:rPr>
          <w:rFonts w:ascii="Times New Roman" w:hAnsi="Times New Roman" w:cs="Times New Roman"/>
          <w:sz w:val="24"/>
          <w:szCs w:val="24"/>
        </w:rPr>
        <w:t>а</w:t>
      </w:r>
      <w:r w:rsidRPr="00082134">
        <w:rPr>
          <w:rFonts w:ascii="Times New Roman" w:hAnsi="Times New Roman" w:cs="Times New Roman"/>
          <w:sz w:val="24"/>
          <w:szCs w:val="24"/>
        </w:rPr>
        <w:t xml:space="preserve">лизации не действует. </w:t>
      </w:r>
      <w:r>
        <w:rPr>
          <w:rFonts w:ascii="Times New Roman" w:hAnsi="Times New Roman" w:cs="Times New Roman"/>
          <w:sz w:val="24"/>
          <w:szCs w:val="24"/>
        </w:rPr>
        <w:t xml:space="preserve">Данные обстоятельства лишь усиливают инвестиционные риски и </w:t>
      </w:r>
      <w:r w:rsidRPr="00082134">
        <w:rPr>
          <w:rFonts w:ascii="Times New Roman" w:hAnsi="Times New Roman" w:cs="Times New Roman"/>
          <w:sz w:val="24"/>
          <w:szCs w:val="24"/>
        </w:rPr>
        <w:t>негативно влия</w:t>
      </w:r>
      <w:r>
        <w:rPr>
          <w:rFonts w:ascii="Times New Roman" w:hAnsi="Times New Roman" w:cs="Times New Roman"/>
          <w:sz w:val="24"/>
          <w:szCs w:val="24"/>
        </w:rPr>
        <w:t>ю</w:t>
      </w:r>
      <w:r w:rsidRPr="00082134">
        <w:rPr>
          <w:rFonts w:ascii="Times New Roman" w:hAnsi="Times New Roman" w:cs="Times New Roman"/>
          <w:sz w:val="24"/>
          <w:szCs w:val="24"/>
        </w:rPr>
        <w:t xml:space="preserve">т на инвестиционную привлекательность периферийного региона. </w:t>
      </w:r>
    </w:p>
    <w:p w:rsidR="002C47D0" w:rsidRPr="00DD5E13" w:rsidRDefault="002C47D0" w:rsidP="002C47D0">
      <w:pPr>
        <w:spacing w:after="0" w:line="360" w:lineRule="auto"/>
        <w:ind w:firstLine="709"/>
        <w:jc w:val="both"/>
        <w:rPr>
          <w:rFonts w:ascii="Times New Roman" w:hAnsi="Times New Roman" w:cs="Times New Roman"/>
          <w:sz w:val="24"/>
          <w:szCs w:val="24"/>
        </w:rPr>
      </w:pPr>
      <w:r w:rsidRPr="00DD5E13">
        <w:rPr>
          <w:rFonts w:ascii="Times New Roman" w:hAnsi="Times New Roman" w:cs="Times New Roman"/>
          <w:sz w:val="24"/>
          <w:szCs w:val="24"/>
        </w:rPr>
        <w:t>Исправить ситуацию, на наш взгляд, возможно через сопряжение воспроизводстве</w:t>
      </w:r>
      <w:r w:rsidRPr="00DD5E13">
        <w:rPr>
          <w:rFonts w:ascii="Times New Roman" w:hAnsi="Times New Roman" w:cs="Times New Roman"/>
          <w:sz w:val="24"/>
          <w:szCs w:val="24"/>
        </w:rPr>
        <w:t>н</w:t>
      </w:r>
      <w:r w:rsidRPr="00DD5E13">
        <w:rPr>
          <w:rFonts w:ascii="Times New Roman" w:hAnsi="Times New Roman" w:cs="Times New Roman"/>
          <w:sz w:val="24"/>
          <w:szCs w:val="24"/>
        </w:rPr>
        <w:t>ных циклов, всей системы разномасштабных цепочек трансакций, экономических, технол</w:t>
      </w:r>
      <w:r w:rsidRPr="00DD5E13">
        <w:rPr>
          <w:rFonts w:ascii="Times New Roman" w:hAnsi="Times New Roman" w:cs="Times New Roman"/>
          <w:sz w:val="24"/>
          <w:szCs w:val="24"/>
        </w:rPr>
        <w:t>о</w:t>
      </w:r>
      <w:r w:rsidRPr="00DD5E13">
        <w:rPr>
          <w:rFonts w:ascii="Times New Roman" w:hAnsi="Times New Roman" w:cs="Times New Roman"/>
          <w:sz w:val="24"/>
          <w:szCs w:val="24"/>
        </w:rPr>
        <w:t>гических, энерго</w:t>
      </w:r>
      <w:r>
        <w:rPr>
          <w:rFonts w:ascii="Times New Roman" w:hAnsi="Times New Roman" w:cs="Times New Roman"/>
          <w:sz w:val="24"/>
          <w:szCs w:val="24"/>
        </w:rPr>
        <w:t>-</w:t>
      </w:r>
      <w:r w:rsidRPr="00DD5E13">
        <w:rPr>
          <w:rFonts w:ascii="Times New Roman" w:hAnsi="Times New Roman" w:cs="Times New Roman"/>
          <w:sz w:val="24"/>
          <w:szCs w:val="24"/>
        </w:rPr>
        <w:t>производственных циклов и других элементов, которые в совокупности формируют бизнес-циклы регионов. К таким интегрированным структурам возможно более адресное и эффективное применение мер по преодолению недостатка финансовых средств и инвестиционных ресурсов.</w:t>
      </w:r>
      <w:r>
        <w:rPr>
          <w:rFonts w:ascii="Times New Roman" w:hAnsi="Times New Roman" w:cs="Times New Roman"/>
          <w:sz w:val="24"/>
          <w:szCs w:val="24"/>
        </w:rPr>
        <w:t xml:space="preserve"> </w:t>
      </w:r>
      <w:r w:rsidR="00BE7203">
        <w:rPr>
          <w:rFonts w:ascii="Times New Roman" w:hAnsi="Times New Roman" w:cs="Times New Roman"/>
          <w:sz w:val="24"/>
          <w:szCs w:val="24"/>
        </w:rPr>
        <w:t xml:space="preserve">Это возможно сделать лишь в условиях государственного </w:t>
      </w:r>
      <w:r w:rsidR="004213E4">
        <w:rPr>
          <w:rFonts w:ascii="Times New Roman" w:hAnsi="Times New Roman" w:cs="Times New Roman"/>
          <w:sz w:val="24"/>
          <w:szCs w:val="24"/>
        </w:rPr>
        <w:t>рег</w:t>
      </w:r>
      <w:r w:rsidR="004213E4">
        <w:rPr>
          <w:rFonts w:ascii="Times New Roman" w:hAnsi="Times New Roman" w:cs="Times New Roman"/>
          <w:sz w:val="24"/>
          <w:szCs w:val="24"/>
        </w:rPr>
        <w:t>у</w:t>
      </w:r>
      <w:r w:rsidR="004213E4">
        <w:rPr>
          <w:rFonts w:ascii="Times New Roman" w:hAnsi="Times New Roman" w:cs="Times New Roman"/>
          <w:sz w:val="24"/>
          <w:szCs w:val="24"/>
        </w:rPr>
        <w:t>лирования р</w:t>
      </w:r>
      <w:r w:rsidR="00BE7203">
        <w:rPr>
          <w:rFonts w:ascii="Times New Roman" w:hAnsi="Times New Roman" w:cs="Times New Roman"/>
          <w:sz w:val="24"/>
          <w:szCs w:val="24"/>
        </w:rPr>
        <w:t>азвити</w:t>
      </w:r>
      <w:r w:rsidR="004213E4">
        <w:rPr>
          <w:rFonts w:ascii="Times New Roman" w:hAnsi="Times New Roman" w:cs="Times New Roman"/>
          <w:sz w:val="24"/>
          <w:szCs w:val="24"/>
        </w:rPr>
        <w:t>ем</w:t>
      </w:r>
      <w:r w:rsidR="00BE7203">
        <w:rPr>
          <w:rFonts w:ascii="Times New Roman" w:hAnsi="Times New Roman" w:cs="Times New Roman"/>
          <w:sz w:val="24"/>
          <w:szCs w:val="24"/>
        </w:rPr>
        <w:t xml:space="preserve"> </w:t>
      </w:r>
      <w:r w:rsidR="004213E4">
        <w:rPr>
          <w:rFonts w:ascii="Times New Roman" w:hAnsi="Times New Roman" w:cs="Times New Roman"/>
          <w:sz w:val="24"/>
          <w:szCs w:val="24"/>
        </w:rPr>
        <w:t>всего экономического пространства страны,</w:t>
      </w:r>
      <w:r w:rsidR="00BE7203">
        <w:rPr>
          <w:rFonts w:ascii="Times New Roman" w:hAnsi="Times New Roman" w:cs="Times New Roman"/>
          <w:sz w:val="24"/>
          <w:szCs w:val="24"/>
        </w:rPr>
        <w:t xml:space="preserve"> применяя финансовые, о</w:t>
      </w:r>
      <w:r w:rsidR="00BE7203">
        <w:rPr>
          <w:rFonts w:ascii="Times New Roman" w:hAnsi="Times New Roman" w:cs="Times New Roman"/>
          <w:sz w:val="24"/>
          <w:szCs w:val="24"/>
        </w:rPr>
        <w:t>р</w:t>
      </w:r>
      <w:r w:rsidR="00BE7203">
        <w:rPr>
          <w:rFonts w:ascii="Times New Roman" w:hAnsi="Times New Roman" w:cs="Times New Roman"/>
          <w:sz w:val="24"/>
          <w:szCs w:val="24"/>
        </w:rPr>
        <w:t xml:space="preserve">ганизационные и административные ресурсы государства. </w:t>
      </w:r>
    </w:p>
    <w:p w:rsidR="00C33871" w:rsidRDefault="004213E4" w:rsidP="009B7395">
      <w:pPr>
        <w:spacing w:after="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Необходимость данного шага объясняется следующим образом. </w:t>
      </w:r>
      <w:r w:rsidR="00FB4A80">
        <w:rPr>
          <w:rFonts w:ascii="Times New Roman" w:hAnsi="Times New Roman" w:cs="Times New Roman"/>
          <w:bCs/>
          <w:sz w:val="24"/>
          <w:szCs w:val="24"/>
        </w:rPr>
        <w:t>От</w:t>
      </w:r>
      <w:r w:rsidR="0062595D">
        <w:rPr>
          <w:rFonts w:ascii="Times New Roman" w:hAnsi="Times New Roman" w:cs="Times New Roman"/>
          <w:bCs/>
          <w:sz w:val="24"/>
          <w:szCs w:val="24"/>
        </w:rPr>
        <w:t xml:space="preserve">току капитала из регионов способствует институционально установившийся порядок </w:t>
      </w:r>
      <w:r w:rsidR="0062595D" w:rsidRPr="009B7395">
        <w:rPr>
          <w:rFonts w:ascii="Times New Roman" w:hAnsi="Times New Roman" w:cs="Times New Roman"/>
          <w:sz w:val="24"/>
          <w:szCs w:val="24"/>
        </w:rPr>
        <w:t>хозяйствования</w:t>
      </w:r>
      <w:r w:rsidR="0062595D">
        <w:rPr>
          <w:rFonts w:ascii="Times New Roman" w:hAnsi="Times New Roman" w:cs="Times New Roman"/>
          <w:bCs/>
          <w:sz w:val="24"/>
          <w:szCs w:val="24"/>
        </w:rPr>
        <w:t xml:space="preserve">. </w:t>
      </w:r>
      <w:r w:rsidR="0062595D">
        <w:rPr>
          <w:rFonts w:ascii="Times New Roman" w:hAnsi="Times New Roman" w:cs="Times New Roman"/>
          <w:sz w:val="24"/>
          <w:szCs w:val="24"/>
        </w:rPr>
        <w:t>Р</w:t>
      </w:r>
      <w:r w:rsidR="0062595D" w:rsidRPr="00C00E9F">
        <w:rPr>
          <w:rFonts w:ascii="Times New Roman" w:hAnsi="Times New Roman" w:cs="Times New Roman"/>
          <w:sz w:val="24"/>
          <w:szCs w:val="24"/>
        </w:rPr>
        <w:t>азв</w:t>
      </w:r>
      <w:r w:rsidR="0062595D" w:rsidRPr="00C00E9F">
        <w:rPr>
          <w:rFonts w:ascii="Times New Roman" w:hAnsi="Times New Roman" w:cs="Times New Roman"/>
          <w:sz w:val="24"/>
          <w:szCs w:val="24"/>
        </w:rPr>
        <w:t>и</w:t>
      </w:r>
      <w:r w:rsidR="0062595D" w:rsidRPr="00C00E9F">
        <w:rPr>
          <w:rFonts w:ascii="Times New Roman" w:hAnsi="Times New Roman" w:cs="Times New Roman"/>
          <w:sz w:val="24"/>
          <w:szCs w:val="24"/>
        </w:rPr>
        <w:t>тие межрегиональных отраслевых рынков в рамках экстрактивных рыночных институтов в</w:t>
      </w:r>
      <w:r w:rsidR="0062595D" w:rsidRPr="00C00E9F">
        <w:rPr>
          <w:rFonts w:ascii="Times New Roman" w:hAnsi="Times New Roman" w:cs="Times New Roman"/>
          <w:sz w:val="24"/>
          <w:szCs w:val="24"/>
        </w:rPr>
        <w:t>е</w:t>
      </w:r>
      <w:r w:rsidR="0062595D" w:rsidRPr="00C00E9F">
        <w:rPr>
          <w:rFonts w:ascii="Times New Roman" w:hAnsi="Times New Roman" w:cs="Times New Roman"/>
          <w:sz w:val="24"/>
          <w:szCs w:val="24"/>
        </w:rPr>
        <w:t>дет к росту аффилированости лиц, дискриминации резидентов периферии, увеличению ко</w:t>
      </w:r>
      <w:r w:rsidR="0062595D" w:rsidRPr="00C00E9F">
        <w:rPr>
          <w:rFonts w:ascii="Times New Roman" w:hAnsi="Times New Roman" w:cs="Times New Roman"/>
          <w:sz w:val="24"/>
          <w:szCs w:val="24"/>
        </w:rPr>
        <w:t>н</w:t>
      </w:r>
      <w:r w:rsidR="0062595D" w:rsidRPr="00C00E9F">
        <w:rPr>
          <w:rFonts w:ascii="Times New Roman" w:hAnsi="Times New Roman" w:cs="Times New Roman"/>
          <w:sz w:val="24"/>
          <w:szCs w:val="24"/>
        </w:rPr>
        <w:t>центрации экономической деятельности и, как следствие, к формированию рынков чембе</w:t>
      </w:r>
      <w:r w:rsidR="0062595D" w:rsidRPr="00C00E9F">
        <w:rPr>
          <w:rFonts w:ascii="Times New Roman" w:hAnsi="Times New Roman" w:cs="Times New Roman"/>
          <w:sz w:val="24"/>
          <w:szCs w:val="24"/>
        </w:rPr>
        <w:t>р</w:t>
      </w:r>
      <w:r w:rsidR="0062595D" w:rsidRPr="00C00E9F">
        <w:rPr>
          <w:rFonts w:ascii="Times New Roman" w:hAnsi="Times New Roman" w:cs="Times New Roman"/>
          <w:sz w:val="24"/>
          <w:szCs w:val="24"/>
        </w:rPr>
        <w:t>линского типа и соответственно к перераспределению экономической ренты в пользу сил</w:t>
      </w:r>
      <w:r w:rsidR="0062595D" w:rsidRPr="00C00E9F">
        <w:rPr>
          <w:rFonts w:ascii="Times New Roman" w:hAnsi="Times New Roman" w:cs="Times New Roman"/>
          <w:sz w:val="24"/>
          <w:szCs w:val="24"/>
        </w:rPr>
        <w:t>ь</w:t>
      </w:r>
      <w:r w:rsidR="0062595D" w:rsidRPr="00C00E9F">
        <w:rPr>
          <w:rFonts w:ascii="Times New Roman" w:hAnsi="Times New Roman" w:cs="Times New Roman"/>
          <w:sz w:val="24"/>
          <w:szCs w:val="24"/>
        </w:rPr>
        <w:t>ного</w:t>
      </w:r>
      <w:r w:rsidR="0062595D">
        <w:rPr>
          <w:rFonts w:ascii="Times New Roman" w:hAnsi="Times New Roman" w:cs="Times New Roman"/>
          <w:sz w:val="24"/>
          <w:szCs w:val="24"/>
        </w:rPr>
        <w:t xml:space="preserve"> субъекта</w:t>
      </w:r>
      <w:r w:rsidR="0062595D" w:rsidRPr="00C00E9F">
        <w:rPr>
          <w:rFonts w:ascii="Times New Roman" w:hAnsi="Times New Roman" w:cs="Times New Roman"/>
          <w:sz w:val="24"/>
          <w:szCs w:val="24"/>
        </w:rPr>
        <w:t xml:space="preserve">. </w:t>
      </w:r>
      <w:r w:rsidR="002C284B">
        <w:rPr>
          <w:rFonts w:ascii="Times New Roman" w:hAnsi="Times New Roman" w:cs="Times New Roman"/>
          <w:sz w:val="24"/>
          <w:szCs w:val="24"/>
        </w:rPr>
        <w:t>Это показывает изменение и</w:t>
      </w:r>
      <w:r w:rsidR="002C284B" w:rsidRPr="00324F9A">
        <w:rPr>
          <w:rFonts w:ascii="Times New Roman" w:hAnsi="Times New Roman" w:cs="Times New Roman"/>
          <w:sz w:val="24"/>
          <w:szCs w:val="24"/>
        </w:rPr>
        <w:t>ндекс</w:t>
      </w:r>
      <w:r w:rsidR="002C284B">
        <w:rPr>
          <w:rFonts w:ascii="Times New Roman" w:hAnsi="Times New Roman" w:cs="Times New Roman"/>
          <w:sz w:val="24"/>
          <w:szCs w:val="24"/>
        </w:rPr>
        <w:t>а</w:t>
      </w:r>
      <w:r w:rsidR="002C284B" w:rsidRPr="00324F9A">
        <w:rPr>
          <w:rFonts w:ascii="Times New Roman" w:hAnsi="Times New Roman" w:cs="Times New Roman"/>
          <w:sz w:val="24"/>
          <w:szCs w:val="24"/>
        </w:rPr>
        <w:t> Херфиндаля-Хиршмана</w:t>
      </w:r>
      <w:r w:rsidR="002C284B">
        <w:rPr>
          <w:rFonts w:ascii="Times New Roman" w:hAnsi="Times New Roman" w:cs="Times New Roman"/>
          <w:sz w:val="24"/>
          <w:szCs w:val="24"/>
        </w:rPr>
        <w:t xml:space="preserve">, который </w:t>
      </w:r>
      <w:r w:rsidR="002C284B" w:rsidRPr="00324F9A">
        <w:rPr>
          <w:rFonts w:ascii="Times New Roman" w:hAnsi="Times New Roman" w:cs="Times New Roman"/>
          <w:sz w:val="24"/>
          <w:szCs w:val="24"/>
        </w:rPr>
        <w:t>служит основным ориентиром при осуществлении антимонопольной полити</w:t>
      </w:r>
      <w:r w:rsidR="002C284B">
        <w:rPr>
          <w:rFonts w:ascii="Times New Roman" w:hAnsi="Times New Roman" w:cs="Times New Roman"/>
          <w:sz w:val="24"/>
          <w:szCs w:val="24"/>
        </w:rPr>
        <w:t>ки в США, Европе, Ро</w:t>
      </w:r>
      <w:r w:rsidR="002C284B">
        <w:rPr>
          <w:rFonts w:ascii="Times New Roman" w:hAnsi="Times New Roman" w:cs="Times New Roman"/>
          <w:sz w:val="24"/>
          <w:szCs w:val="24"/>
        </w:rPr>
        <w:t>с</w:t>
      </w:r>
      <w:r w:rsidR="002C284B">
        <w:rPr>
          <w:rFonts w:ascii="Times New Roman" w:hAnsi="Times New Roman" w:cs="Times New Roman"/>
          <w:sz w:val="24"/>
          <w:szCs w:val="24"/>
        </w:rPr>
        <w:t>сии и других странах</w:t>
      </w:r>
      <w:r w:rsidR="002C284B" w:rsidRPr="00324F9A">
        <w:rPr>
          <w:rFonts w:ascii="Times New Roman" w:hAnsi="Times New Roman" w:cs="Times New Roman"/>
          <w:sz w:val="24"/>
          <w:szCs w:val="24"/>
        </w:rPr>
        <w:t>.</w:t>
      </w:r>
      <w:r w:rsidR="002C284B">
        <w:rPr>
          <w:rFonts w:ascii="Times New Roman" w:hAnsi="Times New Roman" w:cs="Times New Roman"/>
          <w:sz w:val="24"/>
          <w:szCs w:val="24"/>
        </w:rPr>
        <w:t xml:space="preserve"> В нашем случае и</w:t>
      </w:r>
      <w:r w:rsidR="002C284B" w:rsidRPr="004B6687">
        <w:rPr>
          <w:rFonts w:ascii="Times New Roman" w:hAnsi="Times New Roman" w:cs="Times New Roman"/>
          <w:sz w:val="24"/>
          <w:szCs w:val="24"/>
        </w:rPr>
        <w:t>ндекс п</w:t>
      </w:r>
      <w:r w:rsidR="002C284B">
        <w:rPr>
          <w:rFonts w:ascii="Times New Roman" w:hAnsi="Times New Roman" w:cs="Times New Roman"/>
          <w:sz w:val="24"/>
          <w:szCs w:val="24"/>
        </w:rPr>
        <w:t>ризван</w:t>
      </w:r>
      <w:r w:rsidR="002C284B" w:rsidRPr="004B6687">
        <w:rPr>
          <w:rFonts w:ascii="Times New Roman" w:hAnsi="Times New Roman" w:cs="Times New Roman"/>
          <w:sz w:val="24"/>
          <w:szCs w:val="24"/>
        </w:rPr>
        <w:t xml:space="preserve"> оценить изменение рыночной силы в определенном се</w:t>
      </w:r>
      <w:r w:rsidR="002C284B">
        <w:rPr>
          <w:rFonts w:ascii="Times New Roman" w:hAnsi="Times New Roman" w:cs="Times New Roman"/>
          <w:sz w:val="24"/>
          <w:szCs w:val="24"/>
        </w:rPr>
        <w:t>кторе</w:t>
      </w:r>
      <w:r w:rsidR="002C284B" w:rsidRPr="004B6687">
        <w:rPr>
          <w:rFonts w:ascii="Times New Roman" w:hAnsi="Times New Roman" w:cs="Times New Roman"/>
          <w:sz w:val="24"/>
          <w:szCs w:val="24"/>
        </w:rPr>
        <w:t xml:space="preserve"> </w:t>
      </w:r>
      <w:r w:rsidR="002C284B">
        <w:rPr>
          <w:rFonts w:ascii="Times New Roman" w:hAnsi="Times New Roman" w:cs="Times New Roman"/>
          <w:sz w:val="24"/>
          <w:szCs w:val="24"/>
        </w:rPr>
        <w:t xml:space="preserve">экономики </w:t>
      </w:r>
      <w:r w:rsidR="002C284B" w:rsidRPr="004B6687">
        <w:rPr>
          <w:rFonts w:ascii="Times New Roman" w:hAnsi="Times New Roman" w:cs="Times New Roman"/>
          <w:sz w:val="24"/>
          <w:szCs w:val="24"/>
        </w:rPr>
        <w:t>с течением времени или сравнить разные се</w:t>
      </w:r>
      <w:r w:rsidR="002C284B">
        <w:rPr>
          <w:rFonts w:ascii="Times New Roman" w:hAnsi="Times New Roman" w:cs="Times New Roman"/>
          <w:sz w:val="24"/>
          <w:szCs w:val="24"/>
        </w:rPr>
        <w:t xml:space="preserve">ктора </w:t>
      </w:r>
      <w:r w:rsidR="002C284B" w:rsidRPr="004B6687">
        <w:rPr>
          <w:rFonts w:ascii="Times New Roman" w:hAnsi="Times New Roman" w:cs="Times New Roman"/>
          <w:sz w:val="24"/>
          <w:szCs w:val="24"/>
        </w:rPr>
        <w:t>и реги</w:t>
      </w:r>
      <w:r w:rsidR="002C284B" w:rsidRPr="004B6687">
        <w:rPr>
          <w:rFonts w:ascii="Times New Roman" w:hAnsi="Times New Roman" w:cs="Times New Roman"/>
          <w:sz w:val="24"/>
          <w:szCs w:val="24"/>
        </w:rPr>
        <w:t>о</w:t>
      </w:r>
      <w:r w:rsidR="002C284B" w:rsidRPr="004B6687">
        <w:rPr>
          <w:rFonts w:ascii="Times New Roman" w:hAnsi="Times New Roman" w:cs="Times New Roman"/>
          <w:sz w:val="24"/>
          <w:szCs w:val="24"/>
        </w:rPr>
        <w:t>ны по уровню концентрации</w:t>
      </w:r>
      <w:r w:rsidR="002C284B">
        <w:rPr>
          <w:rFonts w:ascii="Times New Roman" w:hAnsi="Times New Roman" w:cs="Times New Roman"/>
          <w:sz w:val="24"/>
          <w:szCs w:val="24"/>
        </w:rPr>
        <w:t xml:space="preserve"> рыночной власти</w:t>
      </w:r>
      <w:r w:rsidR="002C284B" w:rsidRPr="004B6687">
        <w:rPr>
          <w:rFonts w:ascii="Times New Roman" w:hAnsi="Times New Roman" w:cs="Times New Roman"/>
          <w:sz w:val="24"/>
          <w:szCs w:val="24"/>
        </w:rPr>
        <w:t>.</w:t>
      </w:r>
      <w:r w:rsidR="002C284B">
        <w:rPr>
          <w:rFonts w:ascii="Times New Roman" w:hAnsi="Times New Roman" w:cs="Times New Roman"/>
          <w:sz w:val="24"/>
          <w:szCs w:val="24"/>
        </w:rPr>
        <w:t xml:space="preserve"> Оказалось</w:t>
      </w:r>
      <w:r w:rsidR="00C33871">
        <w:rPr>
          <w:rFonts w:ascii="Times New Roman" w:hAnsi="Times New Roman" w:cs="Times New Roman"/>
          <w:sz w:val="24"/>
          <w:szCs w:val="24"/>
        </w:rPr>
        <w:t>,</w:t>
      </w:r>
      <w:r w:rsidR="002C284B">
        <w:rPr>
          <w:rFonts w:ascii="Times New Roman" w:hAnsi="Times New Roman" w:cs="Times New Roman"/>
          <w:sz w:val="24"/>
          <w:szCs w:val="24"/>
        </w:rPr>
        <w:t xml:space="preserve"> что произошло и</w:t>
      </w:r>
      <w:r w:rsidR="002C284B" w:rsidRPr="002C284B">
        <w:rPr>
          <w:rFonts w:ascii="Times New Roman" w:hAnsi="Times New Roman" w:cs="Times New Roman"/>
          <w:sz w:val="24"/>
          <w:szCs w:val="24"/>
        </w:rPr>
        <w:t xml:space="preserve">зменение индекса </w:t>
      </w:r>
      <w:r w:rsidR="002C284B">
        <w:rPr>
          <w:rFonts w:ascii="Times New Roman" w:hAnsi="Times New Roman" w:cs="Times New Roman"/>
          <w:sz w:val="24"/>
          <w:szCs w:val="24"/>
        </w:rPr>
        <w:t xml:space="preserve">для </w:t>
      </w:r>
      <w:r w:rsidR="002C284B" w:rsidRPr="002C284B">
        <w:rPr>
          <w:rFonts w:ascii="Times New Roman" w:hAnsi="Times New Roman" w:cs="Times New Roman"/>
          <w:sz w:val="24"/>
          <w:szCs w:val="24"/>
        </w:rPr>
        <w:t>сектор</w:t>
      </w:r>
      <w:r w:rsidR="002C284B">
        <w:rPr>
          <w:rFonts w:ascii="Times New Roman" w:hAnsi="Times New Roman" w:cs="Times New Roman"/>
          <w:sz w:val="24"/>
          <w:szCs w:val="24"/>
        </w:rPr>
        <w:t>а</w:t>
      </w:r>
      <w:r w:rsidR="002C284B" w:rsidRPr="002C284B">
        <w:rPr>
          <w:rFonts w:ascii="Times New Roman" w:hAnsi="Times New Roman" w:cs="Times New Roman"/>
          <w:sz w:val="24"/>
          <w:szCs w:val="24"/>
        </w:rPr>
        <w:t xml:space="preserve"> «Обрабатывающие производства» более </w:t>
      </w:r>
      <w:r w:rsidR="002C284B">
        <w:rPr>
          <w:rFonts w:ascii="Times New Roman" w:hAnsi="Times New Roman" w:cs="Times New Roman"/>
          <w:sz w:val="24"/>
          <w:szCs w:val="24"/>
        </w:rPr>
        <w:t xml:space="preserve">чем на </w:t>
      </w:r>
      <w:r w:rsidR="002C284B" w:rsidRPr="002C284B">
        <w:rPr>
          <w:rFonts w:ascii="Times New Roman" w:hAnsi="Times New Roman" w:cs="Times New Roman"/>
          <w:sz w:val="24"/>
          <w:szCs w:val="24"/>
        </w:rPr>
        <w:t>2000 пунктов</w:t>
      </w:r>
      <w:r w:rsidR="002C284B">
        <w:rPr>
          <w:rFonts w:ascii="Times New Roman" w:hAnsi="Times New Roman" w:cs="Times New Roman"/>
          <w:sz w:val="24"/>
          <w:szCs w:val="24"/>
        </w:rPr>
        <w:t xml:space="preserve">. Это </w:t>
      </w:r>
      <w:r w:rsidR="002C284B" w:rsidRPr="002C284B">
        <w:rPr>
          <w:rFonts w:ascii="Times New Roman" w:hAnsi="Times New Roman" w:cs="Times New Roman"/>
          <w:sz w:val="24"/>
          <w:szCs w:val="24"/>
        </w:rPr>
        <w:t>говорит о том, что складываются условия для усиления дискриминации и увеличения трансакционных и</w:t>
      </w:r>
      <w:r w:rsidR="002C284B" w:rsidRPr="002C284B">
        <w:rPr>
          <w:rFonts w:ascii="Times New Roman" w:hAnsi="Times New Roman" w:cs="Times New Roman"/>
          <w:sz w:val="24"/>
          <w:szCs w:val="24"/>
        </w:rPr>
        <w:t>з</w:t>
      </w:r>
      <w:r w:rsidR="002C284B" w:rsidRPr="002C284B">
        <w:rPr>
          <w:rFonts w:ascii="Times New Roman" w:hAnsi="Times New Roman" w:cs="Times New Roman"/>
          <w:sz w:val="24"/>
          <w:szCs w:val="24"/>
        </w:rPr>
        <w:t xml:space="preserve">держек (особенно при увеличении транспортных издержек) для периферийных компаний. </w:t>
      </w:r>
    </w:p>
    <w:p w:rsidR="00752FDA" w:rsidRDefault="004D67FE" w:rsidP="00344978">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Динамика показателей (рис.</w:t>
      </w:r>
      <w:r w:rsidR="00D76377">
        <w:rPr>
          <w:rFonts w:ascii="Times New Roman" w:hAnsi="Times New Roman" w:cs="Times New Roman"/>
          <w:sz w:val="24"/>
          <w:szCs w:val="24"/>
        </w:rPr>
        <w:t>3</w:t>
      </w:r>
      <w:r>
        <w:rPr>
          <w:rFonts w:ascii="Times New Roman" w:hAnsi="Times New Roman" w:cs="Times New Roman"/>
          <w:sz w:val="24"/>
          <w:szCs w:val="24"/>
        </w:rPr>
        <w:t xml:space="preserve">) </w:t>
      </w:r>
      <w:r w:rsidR="000061D9">
        <w:rPr>
          <w:rFonts w:ascii="Times New Roman" w:hAnsi="Times New Roman" w:cs="Times New Roman"/>
          <w:sz w:val="24"/>
          <w:szCs w:val="24"/>
        </w:rPr>
        <w:t>«</w:t>
      </w:r>
      <w:r>
        <w:rPr>
          <w:rFonts w:ascii="Times New Roman" w:hAnsi="Times New Roman" w:cs="Times New Roman"/>
          <w:sz w:val="24"/>
          <w:szCs w:val="24"/>
        </w:rPr>
        <w:t>число</w:t>
      </w:r>
      <w:r w:rsidR="000061D9">
        <w:rPr>
          <w:rFonts w:ascii="Times New Roman" w:hAnsi="Times New Roman" w:cs="Times New Roman"/>
          <w:sz w:val="24"/>
          <w:szCs w:val="24"/>
        </w:rPr>
        <w:t>»</w:t>
      </w:r>
      <w:r>
        <w:rPr>
          <w:rFonts w:ascii="Times New Roman" w:hAnsi="Times New Roman" w:cs="Times New Roman"/>
          <w:sz w:val="24"/>
          <w:szCs w:val="24"/>
        </w:rPr>
        <w:t xml:space="preserve"> и </w:t>
      </w:r>
      <w:r w:rsidR="000061D9">
        <w:rPr>
          <w:rFonts w:ascii="Times New Roman" w:hAnsi="Times New Roman" w:cs="Times New Roman"/>
          <w:sz w:val="24"/>
          <w:szCs w:val="24"/>
        </w:rPr>
        <w:t>«</w:t>
      </w:r>
      <w:r>
        <w:rPr>
          <w:rFonts w:ascii="Times New Roman" w:hAnsi="Times New Roman" w:cs="Times New Roman"/>
          <w:sz w:val="24"/>
          <w:szCs w:val="24"/>
        </w:rPr>
        <w:t>оборот организаций</w:t>
      </w:r>
      <w:r w:rsidR="000061D9">
        <w:rPr>
          <w:rFonts w:ascii="Times New Roman" w:hAnsi="Times New Roman" w:cs="Times New Roman"/>
          <w:sz w:val="24"/>
          <w:szCs w:val="24"/>
        </w:rPr>
        <w:t>»</w:t>
      </w:r>
      <w:r>
        <w:rPr>
          <w:rFonts w:ascii="Times New Roman" w:hAnsi="Times New Roman" w:cs="Times New Roman"/>
          <w:sz w:val="24"/>
          <w:szCs w:val="24"/>
        </w:rPr>
        <w:t xml:space="preserve"> сектора «обрабатыв</w:t>
      </w:r>
      <w:r>
        <w:rPr>
          <w:rFonts w:ascii="Times New Roman" w:hAnsi="Times New Roman" w:cs="Times New Roman"/>
          <w:sz w:val="24"/>
          <w:szCs w:val="24"/>
        </w:rPr>
        <w:t>а</w:t>
      </w:r>
      <w:r>
        <w:rPr>
          <w:rFonts w:ascii="Times New Roman" w:hAnsi="Times New Roman" w:cs="Times New Roman"/>
          <w:sz w:val="24"/>
          <w:szCs w:val="24"/>
        </w:rPr>
        <w:t>ющие производства» в СЗФО и в его регионах демонстрирует определенную тенденцию. Так, в целом для округа число предприятий к концу 2013 г. снизилось более чем на 20%, а оборот увеличился более чем на 190%. Для Санкт-Петербурга соответственно почти на 30% и более чем на 450%. Для Мурманской области: снижение числа предприятий на 28% и сн</w:t>
      </w:r>
      <w:r>
        <w:rPr>
          <w:rFonts w:ascii="Times New Roman" w:hAnsi="Times New Roman" w:cs="Times New Roman"/>
          <w:sz w:val="24"/>
          <w:szCs w:val="24"/>
        </w:rPr>
        <w:t>и</w:t>
      </w:r>
      <w:r>
        <w:rPr>
          <w:rFonts w:ascii="Times New Roman" w:hAnsi="Times New Roman" w:cs="Times New Roman"/>
          <w:sz w:val="24"/>
          <w:szCs w:val="24"/>
        </w:rPr>
        <w:t xml:space="preserve">жение оборота на 23%.  Республика Карелия благодаря близости к центрам концентрации </w:t>
      </w:r>
      <w:r>
        <w:rPr>
          <w:rFonts w:ascii="Times New Roman" w:hAnsi="Times New Roman" w:cs="Times New Roman"/>
          <w:sz w:val="24"/>
          <w:szCs w:val="24"/>
        </w:rPr>
        <w:lastRenderedPageBreak/>
        <w:t>экономической деятельности (Санкт-Петербургской агломерации и Финляндии) демонстр</w:t>
      </w:r>
      <w:r>
        <w:rPr>
          <w:rFonts w:ascii="Times New Roman" w:hAnsi="Times New Roman" w:cs="Times New Roman"/>
          <w:sz w:val="24"/>
          <w:szCs w:val="24"/>
        </w:rPr>
        <w:t>и</w:t>
      </w:r>
      <w:r>
        <w:rPr>
          <w:rFonts w:ascii="Times New Roman" w:hAnsi="Times New Roman" w:cs="Times New Roman"/>
          <w:sz w:val="24"/>
          <w:szCs w:val="24"/>
        </w:rPr>
        <w:t>рует  вполне определенную предпринимательскую активность в отличие от северного сос</w:t>
      </w:r>
      <w:r>
        <w:rPr>
          <w:rFonts w:ascii="Times New Roman" w:hAnsi="Times New Roman" w:cs="Times New Roman"/>
          <w:sz w:val="24"/>
          <w:szCs w:val="24"/>
        </w:rPr>
        <w:t>е</w:t>
      </w:r>
      <w:r>
        <w:rPr>
          <w:rFonts w:ascii="Times New Roman" w:hAnsi="Times New Roman" w:cs="Times New Roman"/>
          <w:sz w:val="24"/>
          <w:szCs w:val="24"/>
        </w:rPr>
        <w:t xml:space="preserve">да, однако не могут удержать экономическую ренту.  </w:t>
      </w:r>
    </w:p>
    <w:p w:rsidR="00B476ED" w:rsidRDefault="00752FDA" w:rsidP="00752FD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Анализ </w:t>
      </w:r>
      <w:r w:rsidR="00A032B9">
        <w:rPr>
          <w:rFonts w:ascii="Times New Roman" w:hAnsi="Times New Roman" w:cs="Times New Roman"/>
          <w:sz w:val="24"/>
          <w:szCs w:val="24"/>
        </w:rPr>
        <w:t>структуры секторов экономики</w:t>
      </w:r>
      <w:r>
        <w:rPr>
          <w:rFonts w:ascii="Times New Roman" w:hAnsi="Times New Roman" w:cs="Times New Roman"/>
          <w:sz w:val="24"/>
          <w:szCs w:val="24"/>
        </w:rPr>
        <w:t xml:space="preserve"> показал изменение средней части</w:t>
      </w:r>
      <w:r w:rsidRPr="004D67FE">
        <w:rPr>
          <w:rFonts w:ascii="Times New Roman" w:hAnsi="Times New Roman" w:cs="Times New Roman"/>
          <w:sz w:val="24"/>
          <w:szCs w:val="24"/>
        </w:rPr>
        <w:t xml:space="preserve"> </w:t>
      </w:r>
      <w:r>
        <w:rPr>
          <w:rFonts w:ascii="Times New Roman" w:hAnsi="Times New Roman" w:cs="Times New Roman"/>
          <w:sz w:val="24"/>
          <w:szCs w:val="24"/>
        </w:rPr>
        <w:t xml:space="preserve">функции концентрации, что говорит о </w:t>
      </w:r>
      <w:r w:rsidR="00A032B9">
        <w:rPr>
          <w:rFonts w:ascii="Times New Roman" w:hAnsi="Times New Roman" w:cs="Times New Roman"/>
          <w:sz w:val="24"/>
          <w:szCs w:val="24"/>
        </w:rPr>
        <w:t xml:space="preserve">системном </w:t>
      </w:r>
      <w:r>
        <w:rPr>
          <w:rFonts w:ascii="Times New Roman" w:hAnsi="Times New Roman" w:cs="Times New Roman"/>
          <w:sz w:val="24"/>
          <w:szCs w:val="24"/>
        </w:rPr>
        <w:t xml:space="preserve">изменении </w:t>
      </w:r>
      <w:r w:rsidR="00A032B9">
        <w:rPr>
          <w:rFonts w:ascii="Times New Roman" w:hAnsi="Times New Roman" w:cs="Times New Roman"/>
          <w:sz w:val="24"/>
          <w:szCs w:val="24"/>
        </w:rPr>
        <w:t>отраслей</w:t>
      </w:r>
      <w:r>
        <w:rPr>
          <w:rFonts w:ascii="Times New Roman" w:hAnsi="Times New Roman" w:cs="Times New Roman"/>
          <w:sz w:val="24"/>
          <w:szCs w:val="24"/>
        </w:rPr>
        <w:t xml:space="preserve">. </w:t>
      </w:r>
      <w:r w:rsidR="00A032B9">
        <w:rPr>
          <w:rFonts w:ascii="Times New Roman" w:hAnsi="Times New Roman" w:cs="Times New Roman"/>
          <w:sz w:val="24"/>
          <w:szCs w:val="24"/>
        </w:rPr>
        <w:t>При этом изменяется не только отрасль, но и соответствующе меняется поведение фирм. Е</w:t>
      </w:r>
      <w:r>
        <w:rPr>
          <w:rFonts w:ascii="Times New Roman" w:hAnsi="Times New Roman" w:cs="Times New Roman"/>
          <w:sz w:val="24"/>
          <w:szCs w:val="24"/>
        </w:rPr>
        <w:t xml:space="preserve">сли фирмы ценят свое будущее, то </w:t>
      </w:r>
      <w:r w:rsidRPr="00537A0F">
        <w:rPr>
          <w:rFonts w:ascii="Times New Roman" w:hAnsi="Times New Roman" w:cs="Times New Roman"/>
          <w:sz w:val="24"/>
          <w:szCs w:val="24"/>
        </w:rPr>
        <w:t xml:space="preserve">на рынке </w:t>
      </w:r>
      <w:r>
        <w:rPr>
          <w:rFonts w:ascii="Times New Roman" w:hAnsi="Times New Roman" w:cs="Times New Roman"/>
          <w:sz w:val="24"/>
          <w:szCs w:val="24"/>
        </w:rPr>
        <w:t>несовершенной конкуренции они</w:t>
      </w:r>
      <w:r w:rsidRPr="00537A0F">
        <w:rPr>
          <w:rFonts w:ascii="Times New Roman" w:hAnsi="Times New Roman" w:cs="Times New Roman"/>
          <w:sz w:val="24"/>
          <w:szCs w:val="24"/>
        </w:rPr>
        <w:t xml:space="preserve"> </w:t>
      </w:r>
      <w:r>
        <w:rPr>
          <w:rFonts w:ascii="Times New Roman" w:hAnsi="Times New Roman" w:cs="Times New Roman"/>
          <w:sz w:val="24"/>
          <w:szCs w:val="24"/>
        </w:rPr>
        <w:t xml:space="preserve">начинают </w:t>
      </w:r>
      <w:r w:rsidRPr="00537A0F">
        <w:rPr>
          <w:rFonts w:ascii="Times New Roman" w:hAnsi="Times New Roman" w:cs="Times New Roman"/>
          <w:sz w:val="24"/>
          <w:szCs w:val="24"/>
        </w:rPr>
        <w:t>принимат</w:t>
      </w:r>
      <w:r>
        <w:rPr>
          <w:rFonts w:ascii="Times New Roman" w:hAnsi="Times New Roman" w:cs="Times New Roman"/>
          <w:sz w:val="24"/>
          <w:szCs w:val="24"/>
        </w:rPr>
        <w:t>ь</w:t>
      </w:r>
      <w:r w:rsidRPr="00537A0F">
        <w:rPr>
          <w:rFonts w:ascii="Times New Roman" w:hAnsi="Times New Roman" w:cs="Times New Roman"/>
          <w:sz w:val="24"/>
          <w:szCs w:val="24"/>
        </w:rPr>
        <w:t xml:space="preserve"> кооперативные решения</w:t>
      </w:r>
      <w:r w:rsidR="00A032B9" w:rsidRPr="00A032B9">
        <w:rPr>
          <w:rFonts w:ascii="Times New Roman" w:hAnsi="Times New Roman" w:cs="Times New Roman"/>
          <w:sz w:val="24"/>
          <w:szCs w:val="24"/>
        </w:rPr>
        <w:t xml:space="preserve"> </w:t>
      </w:r>
      <w:r w:rsidR="00A032B9">
        <w:rPr>
          <w:rFonts w:ascii="Times New Roman" w:hAnsi="Times New Roman" w:cs="Times New Roman"/>
          <w:sz w:val="24"/>
          <w:szCs w:val="24"/>
        </w:rPr>
        <w:t>(объясняемые установлением равновесия в смысле Нэша)</w:t>
      </w:r>
      <w:r w:rsidRPr="00537A0F">
        <w:rPr>
          <w:rFonts w:ascii="Times New Roman" w:hAnsi="Times New Roman" w:cs="Times New Roman"/>
          <w:sz w:val="24"/>
          <w:szCs w:val="24"/>
        </w:rPr>
        <w:t xml:space="preserve">. </w:t>
      </w:r>
      <w:r w:rsidRPr="006C7037">
        <w:rPr>
          <w:rFonts w:ascii="Times New Roman" w:hAnsi="Times New Roman" w:cs="Times New Roman"/>
          <w:sz w:val="24"/>
          <w:szCs w:val="24"/>
        </w:rPr>
        <w:t>Изменение ситуации на отрасл</w:t>
      </w:r>
      <w:r w:rsidRPr="006C7037">
        <w:rPr>
          <w:rFonts w:ascii="Times New Roman" w:hAnsi="Times New Roman" w:cs="Times New Roman"/>
          <w:sz w:val="24"/>
          <w:szCs w:val="24"/>
        </w:rPr>
        <w:t>е</w:t>
      </w:r>
      <w:r w:rsidRPr="006C7037">
        <w:rPr>
          <w:rFonts w:ascii="Times New Roman" w:hAnsi="Times New Roman" w:cs="Times New Roman"/>
          <w:sz w:val="24"/>
          <w:szCs w:val="24"/>
        </w:rPr>
        <w:t>вых рынках (секторах экономики) происходит путем сговора или установления личных и дружеских связей между компаниями, установления системы долговременных связей, пр</w:t>
      </w:r>
      <w:r w:rsidRPr="006C7037">
        <w:rPr>
          <w:rFonts w:ascii="Times New Roman" w:hAnsi="Times New Roman" w:cs="Times New Roman"/>
          <w:sz w:val="24"/>
          <w:szCs w:val="24"/>
        </w:rPr>
        <w:t>и</w:t>
      </w:r>
      <w:r w:rsidRPr="006C7037">
        <w:rPr>
          <w:rFonts w:ascii="Times New Roman" w:hAnsi="Times New Roman" w:cs="Times New Roman"/>
          <w:sz w:val="24"/>
          <w:szCs w:val="24"/>
        </w:rPr>
        <w:t>обретения контрольного пакета акций, развития франчайзинга и аутсорсинга, слияния пре</w:t>
      </w:r>
      <w:r w:rsidRPr="006C7037">
        <w:rPr>
          <w:rFonts w:ascii="Times New Roman" w:hAnsi="Times New Roman" w:cs="Times New Roman"/>
          <w:sz w:val="24"/>
          <w:szCs w:val="24"/>
        </w:rPr>
        <w:t>д</w:t>
      </w:r>
      <w:r w:rsidRPr="006C7037">
        <w:rPr>
          <w:rFonts w:ascii="Times New Roman" w:hAnsi="Times New Roman" w:cs="Times New Roman"/>
          <w:sz w:val="24"/>
          <w:szCs w:val="24"/>
        </w:rPr>
        <w:t>приятий и т.д.</w:t>
      </w:r>
      <w:r>
        <w:rPr>
          <w:rFonts w:ascii="Times New Roman" w:hAnsi="Times New Roman" w:cs="Times New Roman"/>
          <w:sz w:val="24"/>
          <w:szCs w:val="24"/>
        </w:rPr>
        <w:t xml:space="preserve"> </w:t>
      </w:r>
      <w:r w:rsidRPr="006C7037">
        <w:rPr>
          <w:rFonts w:ascii="Times New Roman" w:hAnsi="Times New Roman" w:cs="Times New Roman"/>
          <w:sz w:val="24"/>
          <w:szCs w:val="24"/>
        </w:rPr>
        <w:t>Основное воздействие сделок по слияниям и поглощениям на отраслевой р</w:t>
      </w:r>
      <w:r w:rsidRPr="006C7037">
        <w:rPr>
          <w:rFonts w:ascii="Times New Roman" w:hAnsi="Times New Roman" w:cs="Times New Roman"/>
          <w:sz w:val="24"/>
          <w:szCs w:val="24"/>
        </w:rPr>
        <w:t>ы</w:t>
      </w:r>
      <w:r w:rsidRPr="006C7037">
        <w:rPr>
          <w:rFonts w:ascii="Times New Roman" w:hAnsi="Times New Roman" w:cs="Times New Roman"/>
          <w:sz w:val="24"/>
          <w:szCs w:val="24"/>
        </w:rPr>
        <w:t>нок или сектор экономики проявляется в росте количества и размеров фирм, и соответств</w:t>
      </w:r>
      <w:r w:rsidRPr="006C7037">
        <w:rPr>
          <w:rFonts w:ascii="Times New Roman" w:hAnsi="Times New Roman" w:cs="Times New Roman"/>
          <w:sz w:val="24"/>
          <w:szCs w:val="24"/>
        </w:rPr>
        <w:t>у</w:t>
      </w:r>
      <w:r w:rsidRPr="006C7037">
        <w:rPr>
          <w:rFonts w:ascii="Times New Roman" w:hAnsi="Times New Roman" w:cs="Times New Roman"/>
          <w:sz w:val="24"/>
          <w:szCs w:val="24"/>
        </w:rPr>
        <w:t xml:space="preserve">ющем усилении концентрации на рынке. </w:t>
      </w:r>
    </w:p>
    <w:p w:rsidR="004D67FE" w:rsidRDefault="004D67FE" w:rsidP="000717F0">
      <w:pPr>
        <w:spacing w:after="0" w:line="360" w:lineRule="auto"/>
        <w:rPr>
          <w:rFonts w:ascii="Times New Roman" w:eastAsia="Times New Roman" w:hAnsi="Times New Roman"/>
          <w:sz w:val="24"/>
          <w:szCs w:val="24"/>
        </w:rPr>
      </w:pPr>
      <w:r w:rsidRPr="0022159C">
        <w:rPr>
          <w:rFonts w:ascii="Times New Roman" w:eastAsia="Times New Roman" w:hAnsi="Times New Roman"/>
          <w:noProof/>
          <w:sz w:val="24"/>
          <w:szCs w:val="24"/>
        </w:rPr>
        <w:drawing>
          <wp:inline distT="0" distB="0" distL="0" distR="0">
            <wp:extent cx="4532663" cy="2481943"/>
            <wp:effectExtent l="438150" t="0" r="20287"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1E8E" w:rsidRDefault="004D67FE" w:rsidP="00071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Рисунок </w:t>
      </w:r>
      <w:r w:rsidR="00D76377">
        <w:rPr>
          <w:rFonts w:ascii="Times New Roman" w:hAnsi="Times New Roman" w:cs="Times New Roman"/>
          <w:sz w:val="24"/>
          <w:szCs w:val="24"/>
        </w:rPr>
        <w:t>3</w:t>
      </w:r>
      <w:r w:rsidRPr="0056200F">
        <w:rPr>
          <w:rFonts w:ascii="Times New Roman" w:hAnsi="Times New Roman" w:cs="Times New Roman"/>
          <w:sz w:val="24"/>
          <w:szCs w:val="24"/>
        </w:rPr>
        <w:t xml:space="preserve"> </w:t>
      </w:r>
      <w:r>
        <w:rPr>
          <w:rFonts w:ascii="Times New Roman" w:hAnsi="Times New Roman" w:cs="Times New Roman"/>
          <w:sz w:val="24"/>
          <w:szCs w:val="24"/>
        </w:rPr>
        <w:t xml:space="preserve">- Изменение показателей сектора «обрабатывающие производства» в СЗФО. </w:t>
      </w:r>
    </w:p>
    <w:p w:rsidR="00031E8E" w:rsidRDefault="004D67FE" w:rsidP="004D67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Ось </w:t>
      </w:r>
      <w:r>
        <w:rPr>
          <w:rFonts w:ascii="Times New Roman" w:hAnsi="Times New Roman" w:cs="Times New Roman"/>
          <w:sz w:val="24"/>
          <w:szCs w:val="24"/>
          <w:lang w:val="en-US"/>
        </w:rPr>
        <w:t>X</w:t>
      </w:r>
      <w:r w:rsidRPr="00D008C8">
        <w:rPr>
          <w:rFonts w:ascii="Times New Roman" w:hAnsi="Times New Roman" w:cs="Times New Roman"/>
          <w:sz w:val="24"/>
          <w:szCs w:val="24"/>
        </w:rPr>
        <w:t xml:space="preserve"> </w:t>
      </w:r>
      <w:r>
        <w:rPr>
          <w:rFonts w:ascii="Times New Roman" w:hAnsi="Times New Roman" w:cs="Times New Roman"/>
          <w:sz w:val="24"/>
          <w:szCs w:val="24"/>
        </w:rPr>
        <w:t xml:space="preserve">– год </w:t>
      </w:r>
      <w:r w:rsidR="00031E8E">
        <w:rPr>
          <w:rFonts w:ascii="Times New Roman" w:hAnsi="Times New Roman" w:cs="Times New Roman"/>
          <w:sz w:val="24"/>
          <w:szCs w:val="24"/>
        </w:rPr>
        <w:t>наблюдений</w:t>
      </w:r>
      <w:r>
        <w:rPr>
          <w:rFonts w:ascii="Times New Roman" w:hAnsi="Times New Roman" w:cs="Times New Roman"/>
          <w:sz w:val="24"/>
          <w:szCs w:val="24"/>
        </w:rPr>
        <w:t xml:space="preserve">; ось </w:t>
      </w:r>
      <w:r>
        <w:rPr>
          <w:rFonts w:ascii="Times New Roman" w:hAnsi="Times New Roman" w:cs="Times New Roman"/>
          <w:sz w:val="24"/>
          <w:szCs w:val="24"/>
          <w:lang w:val="en-US"/>
        </w:rPr>
        <w:t>Y</w:t>
      </w:r>
      <w:r w:rsidRPr="00D008C8">
        <w:rPr>
          <w:rFonts w:ascii="Times New Roman" w:hAnsi="Times New Roman" w:cs="Times New Roman"/>
          <w:sz w:val="24"/>
          <w:szCs w:val="24"/>
        </w:rPr>
        <w:t xml:space="preserve"> </w:t>
      </w:r>
      <w:r>
        <w:rPr>
          <w:rFonts w:ascii="Times New Roman" w:hAnsi="Times New Roman" w:cs="Times New Roman"/>
          <w:sz w:val="24"/>
          <w:szCs w:val="24"/>
        </w:rPr>
        <w:t>– изменение ч</w:t>
      </w:r>
      <w:r w:rsidRPr="00D008C8">
        <w:rPr>
          <w:rFonts w:ascii="Times New Roman" w:hAnsi="Times New Roman" w:cs="Times New Roman"/>
          <w:sz w:val="24"/>
          <w:szCs w:val="24"/>
        </w:rPr>
        <w:t>исл</w:t>
      </w:r>
      <w:r>
        <w:rPr>
          <w:rFonts w:ascii="Times New Roman" w:hAnsi="Times New Roman" w:cs="Times New Roman"/>
          <w:sz w:val="24"/>
          <w:szCs w:val="24"/>
        </w:rPr>
        <w:t>а</w:t>
      </w:r>
      <w:r w:rsidRPr="00D008C8">
        <w:rPr>
          <w:rFonts w:ascii="Times New Roman" w:hAnsi="Times New Roman" w:cs="Times New Roman"/>
          <w:sz w:val="24"/>
          <w:szCs w:val="24"/>
        </w:rPr>
        <w:t xml:space="preserve"> предприятий и организаций</w:t>
      </w:r>
      <w:r>
        <w:rPr>
          <w:rFonts w:ascii="Times New Roman" w:hAnsi="Times New Roman" w:cs="Times New Roman"/>
          <w:sz w:val="24"/>
          <w:szCs w:val="24"/>
        </w:rPr>
        <w:t xml:space="preserve">, в % к 2007 г.; </w:t>
      </w:r>
      <w:r w:rsidRPr="00D008C8">
        <w:rPr>
          <w:rFonts w:ascii="Times New Roman" w:hAnsi="Times New Roman" w:cs="Times New Roman"/>
          <w:sz w:val="24"/>
          <w:szCs w:val="24"/>
        </w:rPr>
        <w:t xml:space="preserve"> </w:t>
      </w:r>
    </w:p>
    <w:p w:rsidR="004D67FE" w:rsidRDefault="004D67FE" w:rsidP="004D67F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Z</w:t>
      </w:r>
      <w:r>
        <w:rPr>
          <w:rFonts w:ascii="Times New Roman" w:hAnsi="Times New Roman" w:cs="Times New Roman"/>
          <w:sz w:val="24"/>
          <w:szCs w:val="24"/>
        </w:rPr>
        <w:t xml:space="preserve"> (размер «пузырька») - о</w:t>
      </w:r>
      <w:r w:rsidRPr="00D008C8">
        <w:rPr>
          <w:rFonts w:ascii="Times New Roman" w:hAnsi="Times New Roman" w:cs="Times New Roman"/>
          <w:sz w:val="24"/>
          <w:szCs w:val="24"/>
        </w:rPr>
        <w:t xml:space="preserve">борот организаций, </w:t>
      </w:r>
      <w:r>
        <w:rPr>
          <w:rFonts w:ascii="Times New Roman" w:hAnsi="Times New Roman" w:cs="Times New Roman"/>
          <w:sz w:val="24"/>
          <w:szCs w:val="24"/>
        </w:rPr>
        <w:t xml:space="preserve">в </w:t>
      </w:r>
      <w:r w:rsidRPr="00D008C8">
        <w:rPr>
          <w:rFonts w:ascii="Times New Roman" w:hAnsi="Times New Roman" w:cs="Times New Roman"/>
          <w:sz w:val="24"/>
          <w:szCs w:val="24"/>
        </w:rPr>
        <w:t>% к 2007 г.</w:t>
      </w:r>
    </w:p>
    <w:p w:rsidR="004D67FE" w:rsidRDefault="004D67FE" w:rsidP="004D67FE">
      <w:pPr>
        <w:spacing w:after="0" w:line="240" w:lineRule="auto"/>
        <w:jc w:val="both"/>
        <w:rPr>
          <w:rFonts w:ascii="Times New Roman" w:hAnsi="Times New Roman" w:cs="Times New Roman"/>
          <w:sz w:val="24"/>
          <w:szCs w:val="24"/>
        </w:rPr>
      </w:pPr>
    </w:p>
    <w:p w:rsidR="004D67FE" w:rsidRDefault="00D957C6" w:rsidP="00752FDA">
      <w:pPr>
        <w:widowControl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Таким образом, п</w:t>
      </w:r>
      <w:r w:rsidR="004D67FE" w:rsidRPr="009B7395">
        <w:rPr>
          <w:rFonts w:ascii="Times New Roman" w:hAnsi="Times New Roman" w:cs="Times New Roman"/>
          <w:bCs/>
          <w:sz w:val="24"/>
          <w:szCs w:val="24"/>
        </w:rPr>
        <w:t xml:space="preserve">ричины (механизмы создания и распределения экономической ренты) следует искать в природе кооперативных или коллективных явлений в экономическом пространстве. </w:t>
      </w:r>
      <w:r w:rsidR="004D67FE">
        <w:rPr>
          <w:rFonts w:ascii="Times New Roman" w:hAnsi="Times New Roman" w:cs="Times New Roman"/>
          <w:bCs/>
          <w:sz w:val="24"/>
          <w:szCs w:val="24"/>
        </w:rPr>
        <w:t xml:space="preserve">Рост трансакционных издержек периферийных фирм </w:t>
      </w:r>
      <w:r w:rsidR="004D67FE" w:rsidRPr="00524931">
        <w:rPr>
          <w:rFonts w:ascii="Times New Roman" w:hAnsi="Times New Roman" w:cs="Times New Roman"/>
          <w:bCs/>
          <w:sz w:val="24"/>
          <w:szCs w:val="24"/>
        </w:rPr>
        <w:t>обусловлен наличием весьма чувствительных экономических и административных барьеров (действия таможенных орга</w:t>
      </w:r>
      <w:r w:rsidR="004D67FE">
        <w:rPr>
          <w:rFonts w:ascii="Times New Roman" w:hAnsi="Times New Roman" w:cs="Times New Roman"/>
          <w:bCs/>
          <w:sz w:val="24"/>
          <w:szCs w:val="24"/>
        </w:rPr>
        <w:t>нов и</w:t>
      </w:r>
      <w:r w:rsidR="004D67FE" w:rsidRPr="00524931">
        <w:rPr>
          <w:rFonts w:ascii="Times New Roman" w:hAnsi="Times New Roman" w:cs="Times New Roman"/>
          <w:bCs/>
          <w:sz w:val="24"/>
          <w:szCs w:val="24"/>
        </w:rPr>
        <w:t xml:space="preserve"> администраций территорий, картельные соглашения, кооперативные и некооперативные стратегии компаний), которые создают дополнительные трансакционные издержки и которые больш</w:t>
      </w:r>
      <w:r w:rsidR="004D67FE">
        <w:rPr>
          <w:rFonts w:ascii="Times New Roman" w:hAnsi="Times New Roman" w:cs="Times New Roman"/>
          <w:bCs/>
          <w:sz w:val="24"/>
          <w:szCs w:val="24"/>
        </w:rPr>
        <w:t xml:space="preserve">им обременением </w:t>
      </w:r>
      <w:r w:rsidR="004D67FE" w:rsidRPr="00524931">
        <w:rPr>
          <w:rFonts w:ascii="Times New Roman" w:hAnsi="Times New Roman" w:cs="Times New Roman"/>
          <w:bCs/>
          <w:sz w:val="24"/>
          <w:szCs w:val="24"/>
        </w:rPr>
        <w:t>падают на компании со слабой рыночной властью и территории с недостаточным административным ресурсом (</w:t>
      </w:r>
      <w:r w:rsidR="004D67FE">
        <w:rPr>
          <w:rFonts w:ascii="Times New Roman" w:hAnsi="Times New Roman" w:cs="Times New Roman"/>
          <w:bCs/>
          <w:sz w:val="24"/>
          <w:szCs w:val="24"/>
        </w:rPr>
        <w:t xml:space="preserve">т.е. </w:t>
      </w:r>
      <w:r w:rsidR="004D67FE" w:rsidRPr="00524931">
        <w:rPr>
          <w:rFonts w:ascii="Times New Roman" w:hAnsi="Times New Roman" w:cs="Times New Roman"/>
          <w:bCs/>
          <w:sz w:val="24"/>
          <w:szCs w:val="24"/>
        </w:rPr>
        <w:t>на периферию).</w:t>
      </w:r>
    </w:p>
    <w:p w:rsidR="004D67FE" w:rsidRDefault="00C4191A" w:rsidP="00BF1C52">
      <w:pPr>
        <w:widowControl w:val="0"/>
        <w:spacing w:after="0" w:line="360" w:lineRule="auto"/>
        <w:ind w:firstLine="709"/>
        <w:jc w:val="both"/>
        <w:rPr>
          <w:rFonts w:ascii="Times New Roman" w:hAnsi="Times New Roman" w:cs="Times New Roman"/>
          <w:bCs/>
          <w:sz w:val="24"/>
          <w:szCs w:val="24"/>
        </w:rPr>
      </w:pPr>
      <w:r w:rsidRPr="00524931">
        <w:rPr>
          <w:rFonts w:ascii="Times New Roman" w:hAnsi="Times New Roman" w:cs="Times New Roman"/>
          <w:bCs/>
          <w:sz w:val="24"/>
          <w:szCs w:val="24"/>
        </w:rPr>
        <w:t xml:space="preserve">Поскольку </w:t>
      </w:r>
      <w:r>
        <w:rPr>
          <w:rFonts w:ascii="Times New Roman" w:hAnsi="Times New Roman" w:cs="Times New Roman"/>
          <w:bCs/>
          <w:sz w:val="24"/>
          <w:szCs w:val="24"/>
        </w:rPr>
        <w:t xml:space="preserve">природа </w:t>
      </w:r>
      <w:r w:rsidRPr="00524931">
        <w:rPr>
          <w:rFonts w:ascii="Times New Roman" w:hAnsi="Times New Roman" w:cs="Times New Roman"/>
          <w:sz w:val="24"/>
          <w:szCs w:val="24"/>
        </w:rPr>
        <w:t>фирм</w:t>
      </w:r>
      <w:r>
        <w:rPr>
          <w:rFonts w:ascii="Times New Roman" w:hAnsi="Times New Roman" w:cs="Times New Roman"/>
          <w:sz w:val="24"/>
          <w:szCs w:val="24"/>
        </w:rPr>
        <w:t>ы характеризуется</w:t>
      </w:r>
      <w:r w:rsidRPr="00524931">
        <w:rPr>
          <w:rFonts w:ascii="Times New Roman" w:hAnsi="Times New Roman" w:cs="Times New Roman"/>
          <w:bCs/>
          <w:sz w:val="24"/>
          <w:szCs w:val="24"/>
        </w:rPr>
        <w:t xml:space="preserve"> минимиз</w:t>
      </w:r>
      <w:r>
        <w:rPr>
          <w:rFonts w:ascii="Times New Roman" w:hAnsi="Times New Roman" w:cs="Times New Roman"/>
          <w:bCs/>
          <w:sz w:val="24"/>
          <w:szCs w:val="24"/>
        </w:rPr>
        <w:t xml:space="preserve">ацией </w:t>
      </w:r>
      <w:r w:rsidRPr="00524931">
        <w:rPr>
          <w:rFonts w:ascii="Times New Roman" w:hAnsi="Times New Roman" w:cs="Times New Roman"/>
          <w:bCs/>
          <w:sz w:val="24"/>
          <w:szCs w:val="24"/>
        </w:rPr>
        <w:t>общ</w:t>
      </w:r>
      <w:r>
        <w:rPr>
          <w:rFonts w:ascii="Times New Roman" w:hAnsi="Times New Roman" w:cs="Times New Roman"/>
          <w:bCs/>
          <w:sz w:val="24"/>
          <w:szCs w:val="24"/>
        </w:rPr>
        <w:t xml:space="preserve">его </w:t>
      </w:r>
      <w:r w:rsidRPr="00524931">
        <w:rPr>
          <w:rFonts w:ascii="Times New Roman" w:hAnsi="Times New Roman" w:cs="Times New Roman"/>
          <w:bCs/>
          <w:sz w:val="24"/>
          <w:szCs w:val="24"/>
        </w:rPr>
        <w:t>уровн</w:t>
      </w:r>
      <w:r>
        <w:rPr>
          <w:rFonts w:ascii="Times New Roman" w:hAnsi="Times New Roman" w:cs="Times New Roman"/>
          <w:bCs/>
          <w:sz w:val="24"/>
          <w:szCs w:val="24"/>
        </w:rPr>
        <w:t>я</w:t>
      </w:r>
      <w:r w:rsidRPr="00524931">
        <w:rPr>
          <w:rFonts w:ascii="Times New Roman" w:hAnsi="Times New Roman" w:cs="Times New Roman"/>
          <w:bCs/>
          <w:sz w:val="24"/>
          <w:szCs w:val="24"/>
        </w:rPr>
        <w:t xml:space="preserve"> издержек (и трансформационных, и трансакционных), то условием ее расширения является меньшая затратность на осуществление деловых операций внутри фирмы по сравнению с аналогичными расходами при рыночной форме хозяйствования. </w:t>
      </w:r>
      <w:r w:rsidR="00EA3A6E">
        <w:rPr>
          <w:rFonts w:ascii="Times New Roman" w:hAnsi="Times New Roman" w:cs="Times New Roman"/>
          <w:bCs/>
          <w:sz w:val="24"/>
          <w:szCs w:val="24"/>
        </w:rPr>
        <w:t>К</w:t>
      </w:r>
      <w:r w:rsidRPr="00524931">
        <w:rPr>
          <w:rFonts w:ascii="Times New Roman" w:hAnsi="Times New Roman" w:cs="Times New Roman"/>
          <w:bCs/>
          <w:sz w:val="24"/>
          <w:szCs w:val="24"/>
        </w:rPr>
        <w:t>ак только трансакционные издержки на управление внутри фирмы начинают превышать затраты на рыночные трансакции вне ее, фирма становится в этом отношении неэффективной</w:t>
      </w:r>
      <w:r w:rsidR="00EA3A6E">
        <w:rPr>
          <w:rFonts w:ascii="Times New Roman" w:hAnsi="Times New Roman" w:cs="Times New Roman"/>
          <w:bCs/>
          <w:sz w:val="24"/>
          <w:szCs w:val="24"/>
        </w:rPr>
        <w:t xml:space="preserve">. Поэтому </w:t>
      </w:r>
      <w:r w:rsidRPr="004D67FE">
        <w:rPr>
          <w:rFonts w:ascii="Times New Roman" w:hAnsi="Times New Roman" w:cs="Times New Roman"/>
          <w:b/>
          <w:bCs/>
          <w:sz w:val="24"/>
          <w:szCs w:val="24"/>
        </w:rPr>
        <w:t>в периферии действует фактор ограничения размеров фирм</w:t>
      </w:r>
      <w:r w:rsidRPr="00524931">
        <w:rPr>
          <w:rFonts w:ascii="Times New Roman" w:hAnsi="Times New Roman" w:cs="Times New Roman"/>
          <w:bCs/>
          <w:sz w:val="24"/>
          <w:szCs w:val="24"/>
        </w:rPr>
        <w:t xml:space="preserve">. В условиях постоянного давления менеджмент вынужден либо сокращать ее размеры (упразднять лишние управленческие процедуры, сокращать наименее рентабельные направления деятельности) либо менять статус резидента или иным образом институциональное состояние, при которых суммарные издержки выпуска продукции достигают своего минимального значения. Таким образом фирме легче </w:t>
      </w:r>
      <w:r w:rsidRPr="009B7395">
        <w:rPr>
          <w:rFonts w:ascii="Times New Roman" w:hAnsi="Times New Roman" w:cs="Times New Roman"/>
          <w:sz w:val="24"/>
          <w:szCs w:val="24"/>
        </w:rPr>
        <w:t>уменьшать</w:t>
      </w:r>
      <w:r w:rsidRPr="00524931">
        <w:rPr>
          <w:rFonts w:ascii="Times New Roman" w:hAnsi="Times New Roman" w:cs="Times New Roman"/>
          <w:bCs/>
          <w:sz w:val="24"/>
          <w:szCs w:val="24"/>
        </w:rPr>
        <w:t xml:space="preserve"> издержки, создавать возрастающую отдачу и вертикально </w:t>
      </w:r>
      <w:r w:rsidRPr="00524931">
        <w:rPr>
          <w:rFonts w:ascii="Times New Roman" w:hAnsi="Times New Roman" w:cs="Times New Roman"/>
          <w:sz w:val="24"/>
          <w:szCs w:val="24"/>
        </w:rPr>
        <w:t>или</w:t>
      </w:r>
      <w:r w:rsidRPr="00524931">
        <w:rPr>
          <w:rFonts w:ascii="Times New Roman" w:hAnsi="Times New Roman" w:cs="Times New Roman"/>
          <w:bCs/>
          <w:sz w:val="24"/>
          <w:szCs w:val="24"/>
        </w:rPr>
        <w:t xml:space="preserve"> горизонтально расширяться в условиях географической близости с зонами высокой концентрации экономической деятельности  и институциональной близости с центрами принятия решений. </w:t>
      </w:r>
    </w:p>
    <w:p w:rsidR="00591A88" w:rsidRDefault="00591A88" w:rsidP="00591A88">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Поэтому к</w:t>
      </w:r>
      <w:r w:rsidRPr="00D068AC">
        <w:rPr>
          <w:rFonts w:ascii="Times New Roman" w:hAnsi="Times New Roman" w:cs="Times New Roman"/>
          <w:sz w:val="24"/>
          <w:szCs w:val="24"/>
        </w:rPr>
        <w:t>онцентрация</w:t>
      </w:r>
      <w:r w:rsidRPr="00E00662">
        <w:rPr>
          <w:rFonts w:ascii="Times New Roman" w:hAnsi="Times New Roman" w:cs="Times New Roman"/>
          <w:bCs/>
          <w:sz w:val="24"/>
          <w:szCs w:val="24"/>
        </w:rPr>
        <w:t xml:space="preserve"> </w:t>
      </w:r>
      <w:r>
        <w:rPr>
          <w:rFonts w:ascii="Times New Roman" w:hAnsi="Times New Roman" w:cs="Times New Roman"/>
          <w:bCs/>
          <w:sz w:val="24"/>
          <w:szCs w:val="24"/>
        </w:rPr>
        <w:t xml:space="preserve">рыночной власти </w:t>
      </w:r>
      <w:r w:rsidRPr="00E00662">
        <w:rPr>
          <w:rFonts w:ascii="Times New Roman" w:hAnsi="Times New Roman" w:cs="Times New Roman"/>
          <w:bCs/>
          <w:sz w:val="24"/>
          <w:szCs w:val="24"/>
        </w:rPr>
        <w:t xml:space="preserve">требует пристального внимания  </w:t>
      </w:r>
      <w:r>
        <w:rPr>
          <w:rFonts w:ascii="Times New Roman" w:hAnsi="Times New Roman" w:cs="Times New Roman"/>
          <w:bCs/>
          <w:sz w:val="24"/>
          <w:szCs w:val="24"/>
        </w:rPr>
        <w:t>государственных</w:t>
      </w:r>
      <w:r w:rsidRPr="00E00662">
        <w:rPr>
          <w:rFonts w:ascii="Times New Roman" w:hAnsi="Times New Roman" w:cs="Times New Roman"/>
          <w:bCs/>
          <w:sz w:val="24"/>
          <w:szCs w:val="24"/>
        </w:rPr>
        <w:t xml:space="preserve"> органов в той мере, в какой она является предпосылкой для искажения механизма цен, продуцирующую информацию, необходимую для принятия решений </w:t>
      </w:r>
      <w:r>
        <w:rPr>
          <w:rFonts w:ascii="Times New Roman" w:hAnsi="Times New Roman" w:cs="Times New Roman"/>
          <w:bCs/>
          <w:sz w:val="24"/>
          <w:szCs w:val="24"/>
        </w:rPr>
        <w:t xml:space="preserve">властью и </w:t>
      </w:r>
      <w:r w:rsidRPr="00E00662">
        <w:rPr>
          <w:rFonts w:ascii="Times New Roman" w:hAnsi="Times New Roman" w:cs="Times New Roman"/>
          <w:bCs/>
          <w:sz w:val="24"/>
          <w:szCs w:val="24"/>
        </w:rPr>
        <w:t>хозяйствующими субъектами по поводу производства, продажи, покупки товаров и услуг</w:t>
      </w:r>
      <w:r>
        <w:rPr>
          <w:rFonts w:ascii="Times New Roman" w:hAnsi="Times New Roman" w:cs="Times New Roman"/>
          <w:bCs/>
          <w:sz w:val="24"/>
          <w:szCs w:val="24"/>
        </w:rPr>
        <w:t xml:space="preserve"> на конкретных отраслевых рынках. Устойчивое п</w:t>
      </w:r>
      <w:r w:rsidRPr="00416E37">
        <w:rPr>
          <w:rFonts w:ascii="Times New Roman" w:hAnsi="Times New Roman" w:cs="Times New Roman"/>
          <w:sz w:val="24"/>
          <w:szCs w:val="24"/>
        </w:rPr>
        <w:t xml:space="preserve">овышение концентрации </w:t>
      </w:r>
      <w:r>
        <w:rPr>
          <w:rFonts w:ascii="Times New Roman" w:hAnsi="Times New Roman" w:cs="Times New Roman"/>
          <w:sz w:val="24"/>
          <w:szCs w:val="24"/>
        </w:rPr>
        <w:t xml:space="preserve">и несправедливое (с точки зрения периферии) </w:t>
      </w:r>
      <w:r w:rsidRPr="009B7395">
        <w:rPr>
          <w:rFonts w:ascii="Times New Roman" w:hAnsi="Times New Roman" w:cs="Times New Roman"/>
          <w:bCs/>
          <w:sz w:val="24"/>
          <w:szCs w:val="24"/>
        </w:rPr>
        <w:t>распределени</w:t>
      </w:r>
      <w:r>
        <w:rPr>
          <w:rFonts w:ascii="Times New Roman" w:hAnsi="Times New Roman" w:cs="Times New Roman"/>
          <w:bCs/>
          <w:sz w:val="24"/>
          <w:szCs w:val="24"/>
        </w:rPr>
        <w:t>е</w:t>
      </w:r>
      <w:r w:rsidRPr="009B7395">
        <w:rPr>
          <w:rFonts w:ascii="Times New Roman" w:hAnsi="Times New Roman" w:cs="Times New Roman"/>
          <w:bCs/>
          <w:sz w:val="24"/>
          <w:szCs w:val="24"/>
        </w:rPr>
        <w:t xml:space="preserve"> экономической ренты</w:t>
      </w:r>
      <w:r>
        <w:rPr>
          <w:rFonts w:ascii="Times New Roman" w:hAnsi="Times New Roman" w:cs="Times New Roman"/>
          <w:sz w:val="24"/>
          <w:szCs w:val="24"/>
        </w:rPr>
        <w:t xml:space="preserve"> является основанием для внедрения элементов дирижистской политики. </w:t>
      </w:r>
    </w:p>
    <w:p w:rsidR="00C4191A" w:rsidRDefault="00BF1C52" w:rsidP="009B7395">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С</w:t>
      </w:r>
      <w:r w:rsidR="00C4191A" w:rsidRPr="00C00E9F">
        <w:rPr>
          <w:rFonts w:ascii="Times New Roman" w:hAnsi="Times New Roman" w:cs="Times New Roman"/>
          <w:sz w:val="24"/>
          <w:szCs w:val="24"/>
        </w:rPr>
        <w:t xml:space="preserve"> одной стороны </w:t>
      </w:r>
      <w:r w:rsidR="00C4191A">
        <w:rPr>
          <w:rFonts w:ascii="Times New Roman" w:hAnsi="Times New Roman" w:cs="Times New Roman"/>
          <w:sz w:val="24"/>
          <w:szCs w:val="24"/>
        </w:rPr>
        <w:t xml:space="preserve">монополизация </w:t>
      </w:r>
      <w:r w:rsidR="00C4191A" w:rsidRPr="00C00E9F">
        <w:rPr>
          <w:rFonts w:ascii="Times New Roman" w:hAnsi="Times New Roman" w:cs="Times New Roman"/>
          <w:sz w:val="24"/>
          <w:szCs w:val="24"/>
        </w:rPr>
        <w:t>ведет к накоплению ликвидности в центре, которая должна перетекать в основной капитал</w:t>
      </w:r>
      <w:r w:rsidR="00C4191A">
        <w:rPr>
          <w:rFonts w:ascii="Times New Roman" w:hAnsi="Times New Roman" w:cs="Times New Roman"/>
          <w:sz w:val="24"/>
          <w:szCs w:val="24"/>
        </w:rPr>
        <w:t>. С</w:t>
      </w:r>
      <w:r w:rsidR="00C4191A" w:rsidRPr="00C00E9F">
        <w:rPr>
          <w:rFonts w:ascii="Times New Roman" w:hAnsi="Times New Roman" w:cs="Times New Roman"/>
          <w:sz w:val="24"/>
          <w:szCs w:val="24"/>
        </w:rPr>
        <w:t xml:space="preserve"> другой – экономика сырьевой периферии остается в состоянии инвестиционного голода и искусственного торможения капиталоемкого производства, стимулируя отток бизнеса с высокой добавленной стоимостью в центр округа.</w:t>
      </w:r>
      <w:r w:rsidR="00C4191A">
        <w:rPr>
          <w:rFonts w:ascii="Times New Roman" w:hAnsi="Times New Roman" w:cs="Times New Roman"/>
          <w:sz w:val="24"/>
          <w:szCs w:val="24"/>
        </w:rPr>
        <w:t xml:space="preserve"> </w:t>
      </w:r>
      <w:r w:rsidR="00C4191A" w:rsidRPr="0056200F">
        <w:rPr>
          <w:rFonts w:ascii="Times New Roman" w:hAnsi="Times New Roman" w:cs="Times New Roman"/>
          <w:bCs/>
          <w:sz w:val="24"/>
          <w:szCs w:val="24"/>
        </w:rPr>
        <w:t>Поэтому периферийная промышленность (за исключением проектов крупных корпораций, как правило, связанных с добычей и первичной переработкой природных ресурсов) повсеместно испытывает дефицит ликвидности</w:t>
      </w:r>
      <w:r w:rsidR="00C4191A">
        <w:rPr>
          <w:rFonts w:ascii="Times New Roman" w:hAnsi="Times New Roman" w:cs="Times New Roman"/>
          <w:bCs/>
          <w:sz w:val="24"/>
          <w:szCs w:val="24"/>
        </w:rPr>
        <w:t>. А</w:t>
      </w:r>
      <w:r w:rsidR="00C4191A" w:rsidRPr="0056200F">
        <w:rPr>
          <w:rFonts w:ascii="Times New Roman" w:hAnsi="Times New Roman" w:cs="Times New Roman"/>
          <w:bCs/>
          <w:sz w:val="24"/>
          <w:szCs w:val="24"/>
        </w:rPr>
        <w:t xml:space="preserve"> отсутствие оборотных кредитов вводит их в состояние шока. </w:t>
      </w:r>
      <w:r w:rsidR="00C4191A">
        <w:rPr>
          <w:rFonts w:ascii="Times New Roman" w:hAnsi="Times New Roman" w:cs="Times New Roman"/>
          <w:bCs/>
          <w:sz w:val="24"/>
          <w:szCs w:val="24"/>
        </w:rPr>
        <w:t>В р</w:t>
      </w:r>
      <w:r w:rsidR="00C4191A" w:rsidRPr="0056200F">
        <w:rPr>
          <w:rFonts w:ascii="Times New Roman" w:hAnsi="Times New Roman" w:cs="Times New Roman"/>
          <w:bCs/>
          <w:sz w:val="24"/>
          <w:szCs w:val="24"/>
        </w:rPr>
        <w:t>езультат</w:t>
      </w:r>
      <w:r w:rsidR="00C4191A">
        <w:rPr>
          <w:rFonts w:ascii="Times New Roman" w:hAnsi="Times New Roman" w:cs="Times New Roman"/>
          <w:bCs/>
          <w:sz w:val="24"/>
          <w:szCs w:val="24"/>
        </w:rPr>
        <w:t>е</w:t>
      </w:r>
      <w:r w:rsidR="00C4191A" w:rsidRPr="0056200F">
        <w:rPr>
          <w:rFonts w:ascii="Times New Roman" w:hAnsi="Times New Roman" w:cs="Times New Roman"/>
          <w:bCs/>
          <w:sz w:val="24"/>
          <w:szCs w:val="24"/>
        </w:rPr>
        <w:t xml:space="preserve"> </w:t>
      </w:r>
      <w:r w:rsidR="00C4191A">
        <w:rPr>
          <w:rFonts w:ascii="Times New Roman" w:hAnsi="Times New Roman" w:cs="Times New Roman"/>
          <w:bCs/>
          <w:sz w:val="24"/>
          <w:szCs w:val="24"/>
        </w:rPr>
        <w:t>происходит</w:t>
      </w:r>
      <w:r w:rsidR="00C4191A" w:rsidRPr="0056200F">
        <w:rPr>
          <w:rFonts w:ascii="Times New Roman" w:hAnsi="Times New Roman" w:cs="Times New Roman"/>
          <w:bCs/>
          <w:sz w:val="24"/>
          <w:szCs w:val="24"/>
        </w:rPr>
        <w:t xml:space="preserve"> </w:t>
      </w:r>
      <w:r w:rsidR="00C4191A">
        <w:rPr>
          <w:rFonts w:ascii="Times New Roman" w:hAnsi="Times New Roman" w:cs="Times New Roman"/>
          <w:bCs/>
          <w:sz w:val="24"/>
          <w:szCs w:val="24"/>
        </w:rPr>
        <w:t>в</w:t>
      </w:r>
      <w:r w:rsidR="00C4191A" w:rsidRPr="0087004E">
        <w:rPr>
          <w:rFonts w:ascii="Times New Roman" w:hAnsi="Times New Roman" w:cs="Times New Roman"/>
          <w:bCs/>
          <w:sz w:val="24"/>
          <w:szCs w:val="24"/>
        </w:rPr>
        <w:t xml:space="preserve">ытеснение </w:t>
      </w:r>
      <w:r w:rsidR="00C4191A">
        <w:rPr>
          <w:rFonts w:ascii="Times New Roman" w:hAnsi="Times New Roman" w:cs="Times New Roman"/>
          <w:bCs/>
          <w:sz w:val="24"/>
          <w:szCs w:val="24"/>
        </w:rPr>
        <w:t>добавленной стоимости</w:t>
      </w:r>
      <w:r w:rsidR="00C4191A" w:rsidRPr="0087004E">
        <w:rPr>
          <w:rFonts w:ascii="Times New Roman" w:hAnsi="Times New Roman" w:cs="Times New Roman"/>
          <w:bCs/>
          <w:sz w:val="24"/>
          <w:szCs w:val="24"/>
        </w:rPr>
        <w:t xml:space="preserve"> из периферии в центр </w:t>
      </w:r>
      <w:r w:rsidR="00C4191A">
        <w:rPr>
          <w:rFonts w:ascii="Times New Roman" w:hAnsi="Times New Roman" w:cs="Times New Roman"/>
          <w:bCs/>
          <w:sz w:val="24"/>
          <w:szCs w:val="24"/>
        </w:rPr>
        <w:t xml:space="preserve">и </w:t>
      </w:r>
      <w:r w:rsidR="00C4191A" w:rsidRPr="0056200F">
        <w:rPr>
          <w:rFonts w:ascii="Times New Roman" w:hAnsi="Times New Roman" w:cs="Times New Roman"/>
          <w:bCs/>
          <w:sz w:val="24"/>
          <w:szCs w:val="24"/>
        </w:rPr>
        <w:t>стягивание к центру обрабатывающей промышленности, отраслей</w:t>
      </w:r>
      <w:r w:rsidR="00C4191A">
        <w:rPr>
          <w:rFonts w:ascii="Times New Roman" w:hAnsi="Times New Roman" w:cs="Times New Roman"/>
          <w:bCs/>
          <w:sz w:val="24"/>
          <w:szCs w:val="24"/>
        </w:rPr>
        <w:t xml:space="preserve">. </w:t>
      </w:r>
    </w:p>
    <w:p w:rsidR="00F05FFC" w:rsidRPr="006C7037" w:rsidRDefault="00F05FFC" w:rsidP="009B7395">
      <w:pPr>
        <w:spacing w:after="0" w:line="360" w:lineRule="auto"/>
        <w:ind w:firstLine="709"/>
        <w:jc w:val="both"/>
        <w:rPr>
          <w:rFonts w:ascii="Times New Roman" w:hAnsi="Times New Roman" w:cs="Times New Roman"/>
          <w:bCs/>
          <w:sz w:val="24"/>
          <w:szCs w:val="24"/>
        </w:rPr>
      </w:pPr>
      <w:r w:rsidRPr="006C7037">
        <w:rPr>
          <w:rFonts w:ascii="Times New Roman" w:hAnsi="Times New Roman" w:cs="Times New Roman"/>
          <w:bCs/>
          <w:sz w:val="24"/>
          <w:szCs w:val="24"/>
        </w:rPr>
        <w:t>Рыночное распределение ренты (постоянной или возрастающей отдачи, эффекта масштаба и других эффектов), в условиях либеральной модели приводит к разрушению промышленного базиса и энерго</w:t>
      </w:r>
      <w:r w:rsidR="00D62C9A">
        <w:rPr>
          <w:rFonts w:ascii="Times New Roman" w:hAnsi="Times New Roman" w:cs="Times New Roman"/>
          <w:bCs/>
          <w:sz w:val="24"/>
          <w:szCs w:val="24"/>
        </w:rPr>
        <w:t>-</w:t>
      </w:r>
      <w:r w:rsidRPr="006C7037">
        <w:rPr>
          <w:rFonts w:ascii="Times New Roman" w:hAnsi="Times New Roman" w:cs="Times New Roman"/>
          <w:bCs/>
          <w:sz w:val="24"/>
          <w:szCs w:val="24"/>
        </w:rPr>
        <w:t xml:space="preserve">производственных циклов периферии, к потере научной школы и промышленной платформы для разработки новых технологий. </w:t>
      </w:r>
    </w:p>
    <w:p w:rsidR="00F05FFC" w:rsidRPr="006C7037" w:rsidRDefault="00F05FFC" w:rsidP="00752FDA">
      <w:pPr>
        <w:widowControl w:val="0"/>
        <w:spacing w:after="0" w:line="360" w:lineRule="auto"/>
        <w:ind w:firstLine="709"/>
        <w:jc w:val="both"/>
        <w:rPr>
          <w:rFonts w:ascii="Times New Roman" w:hAnsi="Times New Roman" w:cs="Times New Roman"/>
          <w:bCs/>
          <w:sz w:val="24"/>
          <w:szCs w:val="24"/>
        </w:rPr>
      </w:pPr>
      <w:r w:rsidRPr="006C7037">
        <w:rPr>
          <w:rFonts w:ascii="Times New Roman" w:hAnsi="Times New Roman" w:cs="Times New Roman"/>
          <w:bCs/>
          <w:sz w:val="24"/>
          <w:szCs w:val="24"/>
        </w:rPr>
        <w:t>Данный вывод подтверждают исследования инновационной активности в регионах СЗФО. На основании сравнительного анализа состояния инновационного процесса в регионах СЗФО выделены причины деформации региональной инновационной сферы в периферийных территориях, такие как действие экстрактивных институтов. Влияние институты на экономические процессы выразилось в формирование четкого тренда усиления «инновационности» Санкт-Петербу</w:t>
      </w:r>
      <w:r w:rsidR="00D76377">
        <w:rPr>
          <w:rFonts w:ascii="Times New Roman" w:hAnsi="Times New Roman" w:cs="Times New Roman"/>
          <w:bCs/>
          <w:sz w:val="24"/>
          <w:szCs w:val="24"/>
        </w:rPr>
        <w:t>рга по сравнению с периферией [3</w:t>
      </w:r>
      <w:r w:rsidRPr="006C7037">
        <w:rPr>
          <w:rFonts w:ascii="Times New Roman" w:hAnsi="Times New Roman" w:cs="Times New Roman"/>
          <w:bCs/>
          <w:sz w:val="24"/>
          <w:szCs w:val="24"/>
        </w:rPr>
        <w:t xml:space="preserve">]. Так за период 2010-2013 гг. в Санкт-Петербурге выдано 11330 охранных документов (патентов на изобретения и полезные модели), а во всех остальных регионах СЗФО – всего 2894. </w:t>
      </w:r>
    </w:p>
    <w:p w:rsidR="0062595D" w:rsidRDefault="00CD39D6" w:rsidP="009B7395">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Таким образом, и</w:t>
      </w:r>
      <w:r w:rsidR="0062595D" w:rsidRPr="00524931">
        <w:rPr>
          <w:rFonts w:ascii="Times New Roman" w:hAnsi="Times New Roman" w:cs="Times New Roman"/>
          <w:bCs/>
          <w:sz w:val="24"/>
          <w:szCs w:val="24"/>
        </w:rPr>
        <w:t xml:space="preserve">нституциональное установление на рынках чемберлинского типа определенного порядка присвоения имущественных прав и соответствующее присвоение монопольной прибыли, является причиной того, что периферия экономического пространства оказывается в условиях дискриминации и стагнации. Неэффективность государственной политики обусловлена тем, что </w:t>
      </w:r>
      <w:r w:rsidR="0062595D" w:rsidRPr="00524931">
        <w:rPr>
          <w:rFonts w:ascii="Times New Roman" w:hAnsi="Times New Roman" w:cs="Times New Roman"/>
          <w:sz w:val="24"/>
          <w:szCs w:val="24"/>
        </w:rPr>
        <w:t>большинство</w:t>
      </w:r>
      <w:r w:rsidR="0062595D" w:rsidRPr="00524931">
        <w:rPr>
          <w:rFonts w:ascii="Times New Roman" w:hAnsi="Times New Roman" w:cs="Times New Roman"/>
          <w:bCs/>
          <w:sz w:val="24"/>
          <w:szCs w:val="24"/>
        </w:rPr>
        <w:t xml:space="preserve"> реальных рынков - это рынки несовершенной конкуренции, где сфера правительственного вмешательства сама по себе плохо определена. Сегодня она ограничивается только антимонопольным законодательством. </w:t>
      </w:r>
      <w:r w:rsidR="0062595D">
        <w:rPr>
          <w:rFonts w:ascii="Times New Roman" w:hAnsi="Times New Roman" w:cs="Times New Roman"/>
          <w:bCs/>
          <w:sz w:val="24"/>
          <w:szCs w:val="24"/>
        </w:rPr>
        <w:t xml:space="preserve">А такие </w:t>
      </w:r>
      <w:r w:rsidR="0062595D" w:rsidRPr="00524931">
        <w:rPr>
          <w:rFonts w:ascii="Times New Roman" w:hAnsi="Times New Roman" w:cs="Times New Roman"/>
          <w:bCs/>
          <w:sz w:val="24"/>
          <w:szCs w:val="24"/>
        </w:rPr>
        <w:t xml:space="preserve">инструменты, как цены, вход на рынок или экономическое регулирование на уровне контрактов фирм и институциональных соглашений (например, институт лицензирования </w:t>
      </w:r>
      <w:r w:rsidR="0062595D">
        <w:rPr>
          <w:rFonts w:ascii="Times New Roman" w:hAnsi="Times New Roman" w:cs="Times New Roman"/>
          <w:bCs/>
          <w:sz w:val="24"/>
          <w:szCs w:val="24"/>
        </w:rPr>
        <w:t xml:space="preserve">государственно-частное партнерство </w:t>
      </w:r>
      <w:r w:rsidR="0062595D" w:rsidRPr="00524931">
        <w:rPr>
          <w:rFonts w:ascii="Times New Roman" w:hAnsi="Times New Roman" w:cs="Times New Roman"/>
          <w:bCs/>
          <w:sz w:val="24"/>
          <w:szCs w:val="24"/>
        </w:rPr>
        <w:t>и др</w:t>
      </w:r>
      <w:r w:rsidR="0062595D">
        <w:rPr>
          <w:rFonts w:ascii="Times New Roman" w:hAnsi="Times New Roman" w:cs="Times New Roman"/>
          <w:bCs/>
          <w:sz w:val="24"/>
          <w:szCs w:val="24"/>
        </w:rPr>
        <w:t>.</w:t>
      </w:r>
      <w:r w:rsidR="0062595D" w:rsidRPr="00524931">
        <w:rPr>
          <w:rFonts w:ascii="Times New Roman" w:hAnsi="Times New Roman" w:cs="Times New Roman"/>
          <w:bCs/>
          <w:sz w:val="24"/>
          <w:szCs w:val="24"/>
        </w:rPr>
        <w:t xml:space="preserve">) используется явно недостаточно. </w:t>
      </w:r>
    </w:p>
    <w:p w:rsidR="00344978" w:rsidRDefault="000717F0" w:rsidP="00344978">
      <w:pPr>
        <w:spacing w:after="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Т</w:t>
      </w:r>
      <w:r w:rsidR="00F05FFC" w:rsidRPr="006C7037">
        <w:rPr>
          <w:rFonts w:ascii="Times New Roman" w:hAnsi="Times New Roman" w:cs="Times New Roman"/>
          <w:bCs/>
          <w:sz w:val="24"/>
          <w:szCs w:val="24"/>
        </w:rPr>
        <w:t>ребуется разработать соответствующие механизмы управления трансформацией экономического пространства и определить меры, дающие реальную возможность влиять на условия обращения товара на межрегиональных рынках, в части предоставления хозяйствующим субъектам доступа к информации в приоритетном порядке, предоставления государственной или муниципальной преференции и иных действий, развивающих конкуренцию, ослабляющих дискриминационные условия и снижающих трансакционные издержки периферийных компаний. Все это, в конечном счете, поможет выработать новую повестку дня исследования организации промышленности, а также предложить соответствующие приоритеты и предмет для стратегического диалога региональных элит</w:t>
      </w:r>
      <w:r w:rsidR="00344978">
        <w:rPr>
          <w:rFonts w:ascii="Times New Roman" w:hAnsi="Times New Roman" w:cs="Times New Roman"/>
          <w:bCs/>
          <w:sz w:val="24"/>
          <w:szCs w:val="24"/>
        </w:rPr>
        <w:t xml:space="preserve"> и обосновать необходимость </w:t>
      </w:r>
      <w:r w:rsidR="00344978">
        <w:rPr>
          <w:rFonts w:ascii="Times New Roman" w:hAnsi="Times New Roman" w:cs="Times New Roman"/>
          <w:sz w:val="24"/>
          <w:szCs w:val="24"/>
        </w:rPr>
        <w:t xml:space="preserve">внедрения в управленческую практику элементов дирижистской политики. </w:t>
      </w:r>
    </w:p>
    <w:p w:rsidR="00431A52" w:rsidRDefault="00431A52" w:rsidP="0062595D">
      <w:pPr>
        <w:spacing w:after="0" w:line="360" w:lineRule="auto"/>
        <w:ind w:firstLine="680"/>
        <w:jc w:val="both"/>
        <w:rPr>
          <w:rFonts w:ascii="Times New Roman" w:eastAsia="Times New Roman" w:hAnsi="Times New Roman"/>
          <w:sz w:val="24"/>
          <w:szCs w:val="24"/>
        </w:rPr>
      </w:pPr>
    </w:p>
    <w:p w:rsidR="0062595D" w:rsidRPr="00BF37CA" w:rsidRDefault="0062595D" w:rsidP="00BF37CA">
      <w:pPr>
        <w:spacing w:after="0" w:line="360" w:lineRule="auto"/>
        <w:jc w:val="center"/>
        <w:rPr>
          <w:rFonts w:ascii="Times New Roman" w:eastAsia="Times New Roman" w:hAnsi="Times New Roman"/>
          <w:b/>
          <w:sz w:val="24"/>
          <w:szCs w:val="24"/>
        </w:rPr>
      </w:pPr>
      <w:r w:rsidRPr="00BF37CA">
        <w:rPr>
          <w:rFonts w:ascii="Times New Roman" w:eastAsia="Times New Roman" w:hAnsi="Times New Roman"/>
          <w:b/>
          <w:sz w:val="24"/>
          <w:szCs w:val="24"/>
        </w:rPr>
        <w:t xml:space="preserve">Список </w:t>
      </w:r>
      <w:r w:rsidR="00BF37CA" w:rsidRPr="00BF37CA">
        <w:rPr>
          <w:rFonts w:ascii="Times New Roman" w:eastAsia="Times New Roman" w:hAnsi="Times New Roman"/>
          <w:b/>
          <w:sz w:val="24"/>
          <w:szCs w:val="24"/>
        </w:rPr>
        <w:t>литературы</w:t>
      </w:r>
    </w:p>
    <w:p w:rsidR="0062595D" w:rsidRPr="00752FDA" w:rsidRDefault="00752FDA" w:rsidP="00BF37CA">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62595D" w:rsidRPr="00752FDA">
        <w:rPr>
          <w:rFonts w:ascii="Times New Roman" w:hAnsi="Times New Roman" w:cs="Times New Roman"/>
          <w:bCs/>
          <w:sz w:val="24"/>
          <w:szCs w:val="24"/>
        </w:rPr>
        <w:t>Ивантер А., Обухова Е. Уступите место реалистам // Эксперт. 2016. №22. С.16.</w:t>
      </w:r>
    </w:p>
    <w:p w:rsidR="003B50DB" w:rsidRPr="0058179D" w:rsidRDefault="00752FDA" w:rsidP="00BF37C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58179D" w:rsidRPr="0058179D">
        <w:rPr>
          <w:rFonts w:ascii="Times New Roman" w:eastAsia="Times New Roman" w:hAnsi="Times New Roman"/>
          <w:sz w:val="24"/>
          <w:szCs w:val="24"/>
        </w:rPr>
        <w:t>Колесников Н.Г., Толстогузов О.В. Структурные изменения экономики Северо-Запада России: пространственный аспект // Балтийский регион. Т.8, №2. 2016. С. 30—47.</w:t>
      </w:r>
    </w:p>
    <w:p w:rsidR="00040367" w:rsidRDefault="003B50DB" w:rsidP="00BF37CA">
      <w:pPr>
        <w:spacing w:after="0" w:line="360" w:lineRule="auto"/>
        <w:ind w:firstLine="709"/>
        <w:jc w:val="both"/>
        <w:rPr>
          <w:rFonts w:ascii="Times New Roman" w:hAnsi="Times New Roman" w:cs="Times New Roman"/>
          <w:bCs/>
          <w:sz w:val="24"/>
          <w:szCs w:val="24"/>
        </w:rPr>
      </w:pPr>
      <w:r w:rsidRPr="003B50DB">
        <w:rPr>
          <w:rFonts w:ascii="Times New Roman" w:eastAsia="Times New Roman" w:hAnsi="Times New Roman"/>
          <w:sz w:val="24"/>
          <w:szCs w:val="24"/>
        </w:rPr>
        <w:t xml:space="preserve">3. </w:t>
      </w:r>
      <w:r w:rsidR="0062595D" w:rsidRPr="00752FDA">
        <w:rPr>
          <w:rFonts w:ascii="Times New Roman" w:eastAsia="Times New Roman" w:hAnsi="Times New Roman"/>
          <w:sz w:val="24"/>
          <w:szCs w:val="24"/>
        </w:rPr>
        <w:t>Толстогузов</w:t>
      </w:r>
      <w:r w:rsidR="0062595D" w:rsidRPr="0058179D">
        <w:rPr>
          <w:rFonts w:ascii="Times New Roman" w:eastAsia="Times New Roman" w:hAnsi="Times New Roman"/>
          <w:sz w:val="24"/>
          <w:szCs w:val="24"/>
        </w:rPr>
        <w:t xml:space="preserve"> О.В. Инновационная активность в регионах Северо</w:t>
      </w:r>
      <w:r w:rsidR="0062595D" w:rsidRPr="00752FDA">
        <w:rPr>
          <w:rFonts w:ascii="Times New Roman" w:hAnsi="Times New Roman" w:cs="Times New Roman"/>
          <w:bCs/>
          <w:sz w:val="24"/>
          <w:szCs w:val="24"/>
        </w:rPr>
        <w:t>-Запада России в условиях кризиса // Инновации. 2016. №1 (207). С.85-92.</w:t>
      </w:r>
    </w:p>
    <w:p w:rsidR="00DC3791" w:rsidRDefault="00DC3791" w:rsidP="00752FDA">
      <w:pPr>
        <w:spacing w:after="0" w:line="240" w:lineRule="auto"/>
        <w:jc w:val="both"/>
        <w:rPr>
          <w:rFonts w:ascii="Times New Roman" w:hAnsi="Times New Roman" w:cs="Times New Roman"/>
          <w:bCs/>
          <w:sz w:val="24"/>
          <w:szCs w:val="24"/>
        </w:rPr>
      </w:pPr>
    </w:p>
    <w:p w:rsidR="00DC3791" w:rsidRPr="003D5CC8" w:rsidRDefault="00DC3791" w:rsidP="003D5CC8">
      <w:pPr>
        <w:spacing w:after="0" w:line="240" w:lineRule="auto"/>
        <w:jc w:val="center"/>
        <w:rPr>
          <w:rFonts w:ascii="Times New Roman" w:hAnsi="Times New Roman" w:cs="Times New Roman"/>
          <w:b/>
          <w:bCs/>
          <w:sz w:val="24"/>
          <w:szCs w:val="24"/>
        </w:rPr>
      </w:pPr>
      <w:r w:rsidRPr="003D5CC8">
        <w:rPr>
          <w:rFonts w:ascii="Times New Roman" w:hAnsi="Times New Roman" w:cs="Times New Roman"/>
          <w:b/>
          <w:bCs/>
          <w:sz w:val="24"/>
          <w:szCs w:val="24"/>
        </w:rPr>
        <w:t>Информация об авторе</w:t>
      </w:r>
    </w:p>
    <w:p w:rsidR="003D5CC8" w:rsidRPr="003D5CC8" w:rsidRDefault="003D5CC8" w:rsidP="003D5CC8">
      <w:pPr>
        <w:spacing w:after="0" w:line="240" w:lineRule="auto"/>
        <w:ind w:firstLine="709"/>
        <w:jc w:val="both"/>
        <w:rPr>
          <w:rFonts w:ascii="Times New Roman" w:hAnsi="Times New Roman" w:cs="Times New Roman"/>
          <w:sz w:val="24"/>
          <w:szCs w:val="24"/>
        </w:rPr>
      </w:pPr>
      <w:r w:rsidRPr="003D5CC8">
        <w:rPr>
          <w:rFonts w:ascii="Times New Roman" w:hAnsi="Times New Roman" w:cs="Times New Roman"/>
          <w:bCs/>
          <w:sz w:val="24"/>
          <w:szCs w:val="24"/>
        </w:rPr>
        <w:t xml:space="preserve">Толстогузов Олег Викторович (Россия, Петрозаводск) – д.э.н., ведущий научный сотрудник, </w:t>
      </w:r>
      <w:r w:rsidRPr="003D5CC8">
        <w:rPr>
          <w:rFonts w:ascii="Times New Roman" w:hAnsi="Times New Roman" w:cs="Times New Roman"/>
          <w:sz w:val="24"/>
          <w:szCs w:val="24"/>
          <w:shd w:val="clear" w:color="auto" w:fill="FFFFFF"/>
        </w:rPr>
        <w:t xml:space="preserve">Федеральное государственное бюджетное учреждение науки Институт экономики Карельского научного центра Российской академии наук (пр. А. Невского, 50, Петрозаводск, Республика Карелия, Россия, 185030, </w:t>
      </w:r>
      <w:r w:rsidRPr="003D5CC8">
        <w:rPr>
          <w:rStyle w:val="apple-converted-space"/>
          <w:rFonts w:ascii="Times New Roman" w:hAnsi="Times New Roman" w:cs="Times New Roman"/>
          <w:sz w:val="24"/>
          <w:szCs w:val="24"/>
          <w:shd w:val="clear" w:color="auto" w:fill="FFFFFF"/>
          <w:lang w:val="en-US"/>
        </w:rPr>
        <w:t> </w:t>
      </w:r>
      <w:hyperlink r:id="rId12" w:history="1">
        <w:r w:rsidRPr="003D5CC8">
          <w:rPr>
            <w:rStyle w:val="a8"/>
            <w:rFonts w:ascii="Times New Roman" w:hAnsi="Times New Roman" w:cs="Times New Roman"/>
            <w:color w:val="auto"/>
            <w:sz w:val="24"/>
            <w:szCs w:val="24"/>
            <w:shd w:val="clear" w:color="auto" w:fill="FFFFFF"/>
            <w:lang w:val="en-US"/>
          </w:rPr>
          <w:t>insteco</w:t>
        </w:r>
        <w:r w:rsidRPr="003D5CC8">
          <w:rPr>
            <w:rStyle w:val="a8"/>
            <w:rFonts w:ascii="Times New Roman" w:hAnsi="Times New Roman" w:cs="Times New Roman"/>
            <w:color w:val="auto"/>
            <w:sz w:val="24"/>
            <w:szCs w:val="24"/>
            <w:shd w:val="clear" w:color="auto" w:fill="FFFFFF"/>
          </w:rPr>
          <w:t>@</w:t>
        </w:r>
        <w:r w:rsidRPr="003D5CC8">
          <w:rPr>
            <w:rStyle w:val="a8"/>
            <w:rFonts w:ascii="Times New Roman" w:hAnsi="Times New Roman" w:cs="Times New Roman"/>
            <w:color w:val="auto"/>
            <w:sz w:val="24"/>
            <w:szCs w:val="24"/>
            <w:shd w:val="clear" w:color="auto" w:fill="FFFFFF"/>
            <w:lang w:val="en-US"/>
          </w:rPr>
          <w:t>karelia</w:t>
        </w:r>
        <w:r w:rsidRPr="003D5CC8">
          <w:rPr>
            <w:rStyle w:val="a8"/>
            <w:rFonts w:ascii="Times New Roman" w:hAnsi="Times New Roman" w:cs="Times New Roman"/>
            <w:color w:val="auto"/>
            <w:sz w:val="24"/>
            <w:szCs w:val="24"/>
            <w:shd w:val="clear" w:color="auto" w:fill="FFFFFF"/>
          </w:rPr>
          <w:t>.</w:t>
        </w:r>
        <w:r w:rsidRPr="003D5CC8">
          <w:rPr>
            <w:rStyle w:val="a8"/>
            <w:rFonts w:ascii="Times New Roman" w:hAnsi="Times New Roman" w:cs="Times New Roman"/>
            <w:color w:val="auto"/>
            <w:sz w:val="24"/>
            <w:szCs w:val="24"/>
            <w:shd w:val="clear" w:color="auto" w:fill="FFFFFF"/>
            <w:lang w:val="en-US"/>
          </w:rPr>
          <w:t>ru</w:t>
        </w:r>
      </w:hyperlink>
      <w:r w:rsidRPr="003D5CC8">
        <w:rPr>
          <w:rFonts w:ascii="Times New Roman" w:hAnsi="Times New Roman" w:cs="Times New Roman"/>
          <w:sz w:val="24"/>
          <w:szCs w:val="24"/>
          <w:shd w:val="clear" w:color="auto" w:fill="FFFFFF"/>
        </w:rPr>
        <w:t>)</w:t>
      </w:r>
    </w:p>
    <w:p w:rsidR="00DC3791" w:rsidRDefault="00DC3791" w:rsidP="00752FDA">
      <w:pPr>
        <w:spacing w:after="0" w:line="240" w:lineRule="auto"/>
        <w:jc w:val="both"/>
        <w:rPr>
          <w:rFonts w:ascii="Times New Roman" w:hAnsi="Times New Roman" w:cs="Times New Roman"/>
          <w:bCs/>
          <w:sz w:val="24"/>
          <w:szCs w:val="24"/>
        </w:rPr>
      </w:pPr>
    </w:p>
    <w:p w:rsidR="00DC3791" w:rsidRPr="00BF37CA" w:rsidRDefault="003D5CC8" w:rsidP="00BF37CA">
      <w:pPr>
        <w:spacing w:after="0" w:line="360" w:lineRule="auto"/>
        <w:jc w:val="right"/>
        <w:rPr>
          <w:rFonts w:ascii="Times New Roman" w:hAnsi="Times New Roman" w:cs="Times New Roman"/>
          <w:b/>
          <w:bCs/>
          <w:sz w:val="24"/>
          <w:szCs w:val="24"/>
        </w:rPr>
      </w:pPr>
      <w:r w:rsidRPr="003D5CC8">
        <w:rPr>
          <w:rFonts w:ascii="Times New Roman" w:hAnsi="Times New Roman" w:cs="Times New Roman"/>
          <w:b/>
          <w:sz w:val="24"/>
          <w:szCs w:val="24"/>
          <w:lang w:val="en-US"/>
        </w:rPr>
        <w:t>Tolstoguzov</w:t>
      </w:r>
      <w:r w:rsidRPr="00BF37CA">
        <w:rPr>
          <w:rFonts w:ascii="Times New Roman" w:hAnsi="Times New Roman" w:cs="Times New Roman"/>
          <w:b/>
          <w:sz w:val="24"/>
          <w:szCs w:val="24"/>
        </w:rPr>
        <w:t xml:space="preserve"> </w:t>
      </w:r>
      <w:r w:rsidRPr="003D5CC8">
        <w:rPr>
          <w:rFonts w:ascii="Times New Roman" w:hAnsi="Times New Roman" w:cs="Times New Roman"/>
          <w:b/>
          <w:sz w:val="24"/>
          <w:szCs w:val="24"/>
          <w:lang w:val="en-US"/>
        </w:rPr>
        <w:t>Oleg</w:t>
      </w:r>
      <w:r w:rsidRPr="00BF37CA">
        <w:rPr>
          <w:rFonts w:ascii="Times New Roman" w:hAnsi="Times New Roman" w:cs="Times New Roman"/>
          <w:b/>
          <w:sz w:val="24"/>
          <w:szCs w:val="24"/>
        </w:rPr>
        <w:t xml:space="preserve"> </w:t>
      </w:r>
      <w:r w:rsidRPr="003D5CC8">
        <w:rPr>
          <w:rFonts w:ascii="Times New Roman" w:hAnsi="Times New Roman" w:cs="Times New Roman"/>
          <w:b/>
          <w:sz w:val="24"/>
          <w:szCs w:val="24"/>
          <w:lang w:val="en-US"/>
        </w:rPr>
        <w:t>Viktorovitch</w:t>
      </w:r>
    </w:p>
    <w:p w:rsidR="00DC3791" w:rsidRPr="003D5CC8" w:rsidRDefault="00DC3791" w:rsidP="00BF37CA">
      <w:pPr>
        <w:spacing w:after="0" w:line="360" w:lineRule="auto"/>
        <w:jc w:val="center"/>
        <w:rPr>
          <w:rFonts w:ascii="Times New Roman" w:hAnsi="Times New Roman" w:cs="Times New Roman"/>
          <w:b/>
          <w:sz w:val="24"/>
          <w:szCs w:val="24"/>
          <w:lang w:val="en-US"/>
        </w:rPr>
      </w:pPr>
      <w:r w:rsidRPr="003D5CC8">
        <w:rPr>
          <w:rFonts w:ascii="Times New Roman" w:hAnsi="Times New Roman" w:cs="Times New Roman"/>
          <w:b/>
          <w:sz w:val="24"/>
          <w:szCs w:val="24"/>
          <w:lang w:val="en-US"/>
        </w:rPr>
        <w:t>GEOECONOMIC DEVELOPMENT FACTORS</w:t>
      </w:r>
      <w:r w:rsidR="003D5CC8" w:rsidRPr="003D5CC8">
        <w:rPr>
          <w:rFonts w:ascii="Times New Roman" w:hAnsi="Times New Roman" w:cs="Times New Roman"/>
          <w:b/>
          <w:sz w:val="24"/>
          <w:szCs w:val="24"/>
          <w:lang w:val="en-US"/>
        </w:rPr>
        <w:t xml:space="preserve"> </w:t>
      </w:r>
      <w:r w:rsidRPr="003D5CC8">
        <w:rPr>
          <w:rFonts w:ascii="Times New Roman" w:hAnsi="Times New Roman" w:cs="Times New Roman"/>
          <w:b/>
          <w:sz w:val="24"/>
          <w:szCs w:val="24"/>
          <w:lang w:val="en-US"/>
        </w:rPr>
        <w:t>ECONOMY OF REGIONS</w:t>
      </w:r>
    </w:p>
    <w:p w:rsidR="00DC3791" w:rsidRPr="00DC3791" w:rsidRDefault="00DC3791" w:rsidP="00BF37CA">
      <w:pPr>
        <w:spacing w:after="0" w:line="360" w:lineRule="auto"/>
        <w:ind w:firstLine="709"/>
        <w:jc w:val="both"/>
        <w:rPr>
          <w:rFonts w:ascii="Times New Roman" w:hAnsi="Times New Roman" w:cs="Times New Roman"/>
          <w:i/>
          <w:sz w:val="24"/>
          <w:szCs w:val="24"/>
          <w:lang w:val="en-US"/>
        </w:rPr>
      </w:pPr>
      <w:r w:rsidRPr="00BF37CA">
        <w:rPr>
          <w:rFonts w:ascii="Times New Roman" w:hAnsi="Times New Roman" w:cs="Times New Roman"/>
          <w:bCs/>
          <w:i/>
          <w:sz w:val="24"/>
          <w:szCs w:val="24"/>
          <w:lang w:val="en-US"/>
        </w:rPr>
        <w:t>The</w:t>
      </w:r>
      <w:r w:rsidRPr="00DC3791">
        <w:rPr>
          <w:rFonts w:ascii="Times New Roman" w:hAnsi="Times New Roman" w:cs="Times New Roman"/>
          <w:i/>
          <w:sz w:val="24"/>
          <w:szCs w:val="24"/>
          <w:lang w:val="en-US"/>
        </w:rPr>
        <w:t xml:space="preserve"> article is devoted to the study of the dependence of the structure of the regional economy on the transformation of the economic space. It is shown that the outflow of economic rents from the regions to the center is facilitated by the institutionally established order of management, therefore it is necessary to change economic policy.</w:t>
      </w:r>
    </w:p>
    <w:p w:rsidR="00DC3791" w:rsidRDefault="00DC3791" w:rsidP="00BF37CA">
      <w:pPr>
        <w:spacing w:after="0" w:line="360" w:lineRule="auto"/>
        <w:ind w:firstLine="709"/>
        <w:jc w:val="both"/>
        <w:rPr>
          <w:rFonts w:ascii="Times New Roman" w:hAnsi="Times New Roman" w:cs="Times New Roman"/>
          <w:i/>
          <w:sz w:val="24"/>
          <w:szCs w:val="24"/>
          <w:lang w:val="en-US"/>
        </w:rPr>
      </w:pPr>
      <w:r w:rsidRPr="00DC3791">
        <w:rPr>
          <w:rFonts w:ascii="Times New Roman" w:hAnsi="Times New Roman" w:cs="Times New Roman"/>
          <w:i/>
          <w:sz w:val="24"/>
          <w:szCs w:val="24"/>
          <w:lang w:val="en-US"/>
        </w:rPr>
        <w:t xml:space="preserve">Key </w:t>
      </w:r>
      <w:r w:rsidRPr="00BF37CA">
        <w:rPr>
          <w:rFonts w:ascii="Times New Roman" w:hAnsi="Times New Roman" w:cs="Times New Roman"/>
          <w:bCs/>
          <w:i/>
          <w:sz w:val="24"/>
          <w:szCs w:val="24"/>
          <w:lang w:val="en-US"/>
        </w:rPr>
        <w:t>words</w:t>
      </w:r>
      <w:r w:rsidRPr="00DC3791">
        <w:rPr>
          <w:rFonts w:ascii="Times New Roman" w:hAnsi="Times New Roman" w:cs="Times New Roman"/>
          <w:i/>
          <w:sz w:val="24"/>
          <w:szCs w:val="24"/>
          <w:lang w:val="en-US"/>
        </w:rPr>
        <w:t>: gross fixed capital formation, economic space, periphery, economic rent, economic cycle</w:t>
      </w:r>
    </w:p>
    <w:p w:rsidR="00DC3791" w:rsidRPr="00BF37CA" w:rsidRDefault="00DC3791" w:rsidP="00DC3791">
      <w:pPr>
        <w:spacing w:after="0" w:line="240" w:lineRule="auto"/>
        <w:jc w:val="both"/>
        <w:rPr>
          <w:rFonts w:ascii="Times New Roman" w:hAnsi="Times New Roman" w:cs="Times New Roman"/>
          <w:i/>
          <w:sz w:val="24"/>
          <w:szCs w:val="24"/>
          <w:lang w:val="en-US"/>
        </w:rPr>
      </w:pPr>
    </w:p>
    <w:p w:rsidR="003D5CC8" w:rsidRPr="00BF37CA" w:rsidRDefault="003D5CC8" w:rsidP="003D5CC8">
      <w:pPr>
        <w:spacing w:after="0" w:line="240" w:lineRule="auto"/>
        <w:jc w:val="center"/>
        <w:rPr>
          <w:rFonts w:ascii="Times New Roman" w:hAnsi="Times New Roman" w:cs="Times New Roman"/>
          <w:b/>
          <w:sz w:val="24"/>
          <w:szCs w:val="24"/>
          <w:lang w:val="en-US"/>
        </w:rPr>
      </w:pPr>
      <w:r w:rsidRPr="00BF37CA">
        <w:rPr>
          <w:rFonts w:ascii="Times New Roman" w:hAnsi="Times New Roman" w:cs="Times New Roman"/>
          <w:b/>
          <w:sz w:val="24"/>
          <w:szCs w:val="24"/>
          <w:lang w:val="en-US"/>
        </w:rPr>
        <w:t>Information about the author</w:t>
      </w:r>
    </w:p>
    <w:p w:rsidR="00DC3791" w:rsidRDefault="00DC3791" w:rsidP="003D5CC8">
      <w:pPr>
        <w:spacing w:after="0" w:line="240" w:lineRule="auto"/>
        <w:ind w:firstLine="709"/>
        <w:jc w:val="both"/>
        <w:rPr>
          <w:rFonts w:ascii="Times New Roman" w:hAnsi="Times New Roman" w:cs="Times New Roman"/>
          <w:sz w:val="24"/>
          <w:szCs w:val="24"/>
        </w:rPr>
      </w:pPr>
      <w:r w:rsidRPr="00BF37CA">
        <w:rPr>
          <w:rFonts w:ascii="Times New Roman" w:hAnsi="Times New Roman" w:cs="Times New Roman"/>
          <w:bCs/>
          <w:sz w:val="24"/>
          <w:szCs w:val="24"/>
          <w:lang w:val="en-US"/>
        </w:rPr>
        <w:t>Tolstoguzov</w:t>
      </w:r>
      <w:r w:rsidRPr="00DC3791">
        <w:rPr>
          <w:rFonts w:ascii="Times New Roman" w:hAnsi="Times New Roman" w:cs="Times New Roman"/>
          <w:sz w:val="24"/>
          <w:szCs w:val="24"/>
          <w:lang w:val="en-US"/>
        </w:rPr>
        <w:t xml:space="preserve"> Oleg Viktorovitch (Russia</w:t>
      </w:r>
      <w:r>
        <w:rPr>
          <w:rFonts w:ascii="Times New Roman" w:hAnsi="Times New Roman" w:cs="Times New Roman"/>
          <w:sz w:val="24"/>
          <w:szCs w:val="24"/>
          <w:lang w:val="en-US"/>
        </w:rPr>
        <w:t>,</w:t>
      </w:r>
      <w:r w:rsidRPr="00DC3791">
        <w:rPr>
          <w:rFonts w:ascii="Times New Roman" w:hAnsi="Times New Roman" w:cs="Times New Roman"/>
          <w:sz w:val="24"/>
          <w:szCs w:val="24"/>
          <w:lang w:val="en-US"/>
        </w:rPr>
        <w:t xml:space="preserve"> Petrozavodsk) – Doctor of Economic Sciences, Leading Researcher, </w:t>
      </w:r>
      <w:r w:rsidRPr="00DC3791">
        <w:rPr>
          <w:rFonts w:ascii="Times New Roman" w:hAnsi="Times New Roman" w:cs="Times New Roman"/>
          <w:color w:val="140C0C"/>
          <w:sz w:val="24"/>
          <w:szCs w:val="24"/>
          <w:shd w:val="clear" w:color="auto" w:fill="FFFFFF"/>
          <w:lang w:val="en-US"/>
        </w:rPr>
        <w:t>Institute of Economics of the Karelian Research Centre of the Russian Academy of Sciences</w:t>
      </w:r>
      <w:r>
        <w:rPr>
          <w:rFonts w:ascii="Times New Roman" w:hAnsi="Times New Roman" w:cs="Times New Roman"/>
          <w:color w:val="140C0C"/>
          <w:sz w:val="24"/>
          <w:szCs w:val="24"/>
          <w:shd w:val="clear" w:color="auto" w:fill="FFFFFF"/>
          <w:lang w:val="en-US"/>
        </w:rPr>
        <w:t xml:space="preserve"> </w:t>
      </w:r>
      <w:r w:rsidRPr="00DC3791">
        <w:rPr>
          <w:rFonts w:ascii="Times New Roman" w:hAnsi="Times New Roman" w:cs="Times New Roman"/>
          <w:sz w:val="24"/>
          <w:szCs w:val="24"/>
          <w:lang w:val="en-US"/>
        </w:rPr>
        <w:t xml:space="preserve">(A.Nevsky Ave., 50, Petrozavodsk, Republic of Karelia, Russia, </w:t>
      </w:r>
      <w:hyperlink r:id="rId13" w:history="1">
        <w:r w:rsidRPr="00DC3791">
          <w:rPr>
            <w:rStyle w:val="a8"/>
            <w:rFonts w:ascii="Times New Roman" w:hAnsi="Times New Roman" w:cs="Times New Roman"/>
            <w:sz w:val="24"/>
            <w:szCs w:val="24"/>
            <w:shd w:val="clear" w:color="auto" w:fill="FFFFFF"/>
            <w:lang w:val="en-US"/>
          </w:rPr>
          <w:t>insteco@karelia.ru</w:t>
        </w:r>
      </w:hyperlink>
      <w:r w:rsidRPr="00DC3791">
        <w:rPr>
          <w:rFonts w:ascii="Times New Roman" w:hAnsi="Times New Roman" w:cs="Times New Roman"/>
          <w:sz w:val="24"/>
          <w:szCs w:val="24"/>
          <w:lang w:val="en-US"/>
        </w:rPr>
        <w:t>)</w:t>
      </w:r>
    </w:p>
    <w:p w:rsidR="00BF37CA" w:rsidRPr="00BF37CA" w:rsidRDefault="00BF37CA" w:rsidP="003D5CC8">
      <w:pPr>
        <w:spacing w:after="0" w:line="240" w:lineRule="auto"/>
        <w:ind w:firstLine="709"/>
        <w:jc w:val="both"/>
        <w:rPr>
          <w:rFonts w:ascii="Times New Roman" w:hAnsi="Times New Roman" w:cs="Times New Roman"/>
          <w:sz w:val="24"/>
          <w:szCs w:val="24"/>
        </w:rPr>
      </w:pPr>
    </w:p>
    <w:p w:rsidR="00BF37CA" w:rsidRPr="00BF37CA" w:rsidRDefault="00BF37CA" w:rsidP="00BF37CA">
      <w:pPr>
        <w:spacing w:after="0" w:line="360" w:lineRule="auto"/>
        <w:jc w:val="center"/>
        <w:rPr>
          <w:rFonts w:ascii="Times New Roman" w:hAnsi="Times New Roman" w:cs="Times New Roman"/>
          <w:i/>
          <w:sz w:val="24"/>
          <w:szCs w:val="24"/>
          <w:lang w:val="en-US"/>
        </w:rPr>
      </w:pPr>
      <w:r w:rsidRPr="00BF37CA">
        <w:rPr>
          <w:rFonts w:ascii="Times New Roman" w:hAnsi="Times New Roman" w:cs="Times New Roman"/>
          <w:b/>
          <w:sz w:val="24"/>
          <w:szCs w:val="24"/>
          <w:lang w:val="en-US"/>
        </w:rPr>
        <w:t>Bibliography</w:t>
      </w:r>
    </w:p>
    <w:p w:rsidR="00BF37CA" w:rsidRPr="00BF37CA" w:rsidRDefault="00BF37CA" w:rsidP="00BF37CA">
      <w:pPr>
        <w:spacing w:after="0" w:line="360" w:lineRule="auto"/>
        <w:ind w:firstLine="709"/>
        <w:jc w:val="both"/>
        <w:rPr>
          <w:rFonts w:ascii="Times New Roman" w:hAnsi="Times New Roman" w:cs="Times New Roman"/>
          <w:sz w:val="24"/>
          <w:szCs w:val="24"/>
          <w:lang w:val="en-US"/>
        </w:rPr>
      </w:pPr>
      <w:r w:rsidRPr="00BF37CA">
        <w:rPr>
          <w:rFonts w:ascii="Times New Roman" w:hAnsi="Times New Roman" w:cs="Times New Roman"/>
          <w:sz w:val="24"/>
          <w:szCs w:val="24"/>
          <w:lang w:val="en-US"/>
        </w:rPr>
        <w:t>1. Ivanter A., Obukhova E. Give way to realists / / Expert. 2016. № 22. C.16.</w:t>
      </w:r>
    </w:p>
    <w:p w:rsidR="00BF37CA" w:rsidRPr="00BF37CA" w:rsidRDefault="00BF37CA" w:rsidP="00BF37CA">
      <w:pPr>
        <w:spacing w:after="0" w:line="360" w:lineRule="auto"/>
        <w:ind w:firstLine="709"/>
        <w:jc w:val="both"/>
        <w:rPr>
          <w:rFonts w:ascii="Times New Roman" w:hAnsi="Times New Roman" w:cs="Times New Roman"/>
          <w:sz w:val="24"/>
          <w:szCs w:val="24"/>
          <w:lang w:val="en-US"/>
        </w:rPr>
      </w:pPr>
      <w:r w:rsidRPr="00BF37CA">
        <w:rPr>
          <w:rFonts w:ascii="Times New Roman" w:hAnsi="Times New Roman" w:cs="Times New Roman"/>
          <w:sz w:val="24"/>
          <w:szCs w:val="24"/>
          <w:lang w:val="en-US"/>
        </w:rPr>
        <w:t>2. Kolesnikov N.G., Tolstoguzov O.V. Structural changes in the economy of the North-West of Russia: the spatial aspect // The Baltic region. T.8, №2. 2016. P. 30-47.</w:t>
      </w:r>
    </w:p>
    <w:p w:rsidR="00DC3791" w:rsidRPr="00BF37CA" w:rsidRDefault="00BF37CA" w:rsidP="00BF37CA">
      <w:pPr>
        <w:spacing w:after="0" w:line="360" w:lineRule="auto"/>
        <w:ind w:firstLine="709"/>
        <w:jc w:val="both"/>
        <w:rPr>
          <w:rFonts w:ascii="Times New Roman" w:hAnsi="Times New Roman" w:cs="Times New Roman"/>
          <w:sz w:val="24"/>
          <w:szCs w:val="24"/>
          <w:lang w:val="en-US"/>
        </w:rPr>
      </w:pPr>
      <w:r w:rsidRPr="00BF37CA">
        <w:rPr>
          <w:rFonts w:ascii="Times New Roman" w:hAnsi="Times New Roman" w:cs="Times New Roman"/>
          <w:sz w:val="24"/>
          <w:szCs w:val="24"/>
          <w:lang w:val="en-US"/>
        </w:rPr>
        <w:t>3. Tolstoguzov O.V. Innovative activity in the regions of the North-West of Russia in crisis conditions // Innovations. 2016.</w:t>
      </w:r>
      <w:r w:rsidRPr="00BF37CA">
        <w:rPr>
          <w:rFonts w:ascii="Times New Roman" w:hAnsi="Times New Roman" w:cs="Times New Roman"/>
          <w:sz w:val="24"/>
          <w:szCs w:val="24"/>
        </w:rPr>
        <w:t xml:space="preserve"> №</w:t>
      </w:r>
      <w:r w:rsidRPr="00BF37CA">
        <w:rPr>
          <w:rFonts w:ascii="Times New Roman" w:hAnsi="Times New Roman" w:cs="Times New Roman"/>
          <w:sz w:val="24"/>
          <w:szCs w:val="24"/>
          <w:lang w:val="en-US"/>
        </w:rPr>
        <w:t>1(207). C.85-92.</w:t>
      </w:r>
    </w:p>
    <w:sectPr w:rsidR="00DC3791" w:rsidRPr="00BF37CA" w:rsidSect="002C265B">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D04" w:rsidRDefault="009C0D04" w:rsidP="0062595D">
      <w:pPr>
        <w:spacing w:after="0" w:line="240" w:lineRule="auto"/>
      </w:pPr>
      <w:r>
        <w:separator/>
      </w:r>
    </w:p>
  </w:endnote>
  <w:endnote w:type="continuationSeparator" w:id="0">
    <w:p w:rsidR="009C0D04" w:rsidRDefault="009C0D04" w:rsidP="0062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2547"/>
      <w:docPartObj>
        <w:docPartGallery w:val="Page Numbers (Bottom of Page)"/>
        <w:docPartUnique/>
      </w:docPartObj>
    </w:sdtPr>
    <w:sdtEndPr/>
    <w:sdtContent>
      <w:p w:rsidR="00E33D82" w:rsidRDefault="00A966AF">
        <w:pPr>
          <w:pStyle w:val="ad"/>
          <w:jc w:val="center"/>
        </w:pPr>
        <w:r>
          <w:fldChar w:fldCharType="begin"/>
        </w:r>
        <w:r>
          <w:instrText xml:space="preserve"> PAGE   \* MERGEFORMAT </w:instrText>
        </w:r>
        <w:r>
          <w:fldChar w:fldCharType="separate"/>
        </w:r>
        <w:r>
          <w:rPr>
            <w:noProof/>
          </w:rPr>
          <w:t>2</w:t>
        </w:r>
        <w:r>
          <w:rPr>
            <w:noProof/>
          </w:rPr>
          <w:fldChar w:fldCharType="end"/>
        </w:r>
      </w:p>
    </w:sdtContent>
  </w:sdt>
  <w:p w:rsidR="00E33D82" w:rsidRDefault="00E33D8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D04" w:rsidRDefault="009C0D04" w:rsidP="0062595D">
      <w:pPr>
        <w:spacing w:after="0" w:line="240" w:lineRule="auto"/>
      </w:pPr>
      <w:r>
        <w:separator/>
      </w:r>
    </w:p>
  </w:footnote>
  <w:footnote w:type="continuationSeparator" w:id="0">
    <w:p w:rsidR="009C0D04" w:rsidRDefault="009C0D04" w:rsidP="00625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B6E7D"/>
    <w:multiLevelType w:val="hybridMultilevel"/>
    <w:tmpl w:val="C8C251F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362AB0"/>
    <w:multiLevelType w:val="hybridMultilevel"/>
    <w:tmpl w:val="A04272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5D"/>
    <w:rsid w:val="000061D9"/>
    <w:rsid w:val="00031E8E"/>
    <w:rsid w:val="00040367"/>
    <w:rsid w:val="000717F0"/>
    <w:rsid w:val="000728BD"/>
    <w:rsid w:val="000C11B3"/>
    <w:rsid w:val="000C17A3"/>
    <w:rsid w:val="00163C76"/>
    <w:rsid w:val="001C11A1"/>
    <w:rsid w:val="001C47C1"/>
    <w:rsid w:val="002043BF"/>
    <w:rsid w:val="002A3461"/>
    <w:rsid w:val="002C265B"/>
    <w:rsid w:val="002C284B"/>
    <w:rsid w:val="002C47D0"/>
    <w:rsid w:val="00313252"/>
    <w:rsid w:val="00344978"/>
    <w:rsid w:val="003B50DB"/>
    <w:rsid w:val="003D5CC8"/>
    <w:rsid w:val="00413124"/>
    <w:rsid w:val="004213E4"/>
    <w:rsid w:val="00431A52"/>
    <w:rsid w:val="0045174C"/>
    <w:rsid w:val="00472C99"/>
    <w:rsid w:val="004D67FE"/>
    <w:rsid w:val="00502640"/>
    <w:rsid w:val="005440B8"/>
    <w:rsid w:val="00551A7D"/>
    <w:rsid w:val="0058179D"/>
    <w:rsid w:val="00582E8D"/>
    <w:rsid w:val="00591A88"/>
    <w:rsid w:val="005A6BA3"/>
    <w:rsid w:val="005B2669"/>
    <w:rsid w:val="0062595D"/>
    <w:rsid w:val="0065115B"/>
    <w:rsid w:val="00657BC7"/>
    <w:rsid w:val="006C7037"/>
    <w:rsid w:val="006E1E59"/>
    <w:rsid w:val="007004F1"/>
    <w:rsid w:val="00715E6F"/>
    <w:rsid w:val="00716D1D"/>
    <w:rsid w:val="00717AD0"/>
    <w:rsid w:val="00735917"/>
    <w:rsid w:val="00752FDA"/>
    <w:rsid w:val="00756816"/>
    <w:rsid w:val="00756DB1"/>
    <w:rsid w:val="007776D1"/>
    <w:rsid w:val="00841B00"/>
    <w:rsid w:val="008B025E"/>
    <w:rsid w:val="008D3307"/>
    <w:rsid w:val="00907D51"/>
    <w:rsid w:val="00917A94"/>
    <w:rsid w:val="0093130E"/>
    <w:rsid w:val="0093255C"/>
    <w:rsid w:val="009A1937"/>
    <w:rsid w:val="009B7395"/>
    <w:rsid w:val="009C0D04"/>
    <w:rsid w:val="00A032B9"/>
    <w:rsid w:val="00A0650E"/>
    <w:rsid w:val="00A33B63"/>
    <w:rsid w:val="00A966AF"/>
    <w:rsid w:val="00AF52C6"/>
    <w:rsid w:val="00B15453"/>
    <w:rsid w:val="00B177AA"/>
    <w:rsid w:val="00B476ED"/>
    <w:rsid w:val="00B64AE1"/>
    <w:rsid w:val="00BC3516"/>
    <w:rsid w:val="00BE7203"/>
    <w:rsid w:val="00BF1C52"/>
    <w:rsid w:val="00BF37CA"/>
    <w:rsid w:val="00C07C63"/>
    <w:rsid w:val="00C33871"/>
    <w:rsid w:val="00C4191A"/>
    <w:rsid w:val="00C67C0B"/>
    <w:rsid w:val="00C75597"/>
    <w:rsid w:val="00C77C2C"/>
    <w:rsid w:val="00CA0368"/>
    <w:rsid w:val="00CC612B"/>
    <w:rsid w:val="00CD39D6"/>
    <w:rsid w:val="00CE6316"/>
    <w:rsid w:val="00D62C9A"/>
    <w:rsid w:val="00D76377"/>
    <w:rsid w:val="00D957C6"/>
    <w:rsid w:val="00DC3791"/>
    <w:rsid w:val="00DF2BEC"/>
    <w:rsid w:val="00E06EE7"/>
    <w:rsid w:val="00E33D82"/>
    <w:rsid w:val="00E375F5"/>
    <w:rsid w:val="00E70D01"/>
    <w:rsid w:val="00E730B4"/>
    <w:rsid w:val="00EA3A6E"/>
    <w:rsid w:val="00F05FFC"/>
    <w:rsid w:val="00F81C81"/>
    <w:rsid w:val="00F876BA"/>
    <w:rsid w:val="00FB4A80"/>
    <w:rsid w:val="00FE1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2595D"/>
    <w:pPr>
      <w:ind w:left="720"/>
      <w:contextualSpacing/>
    </w:pPr>
  </w:style>
  <w:style w:type="paragraph" w:styleId="a5">
    <w:name w:val="footnote text"/>
    <w:aliases w:val="Текст сноски-FN,single space,footnote text,Table_Footnote_last,Fußnote,FOOTNOTES,fn Знак,Footnote,Fussnote,Footnote Text Char Знак Знак,Footnote Text Char Знак,Footnote Text Char,Текст сноски Знак Знак Char,Texto de nota al pie Char"/>
    <w:basedOn w:val="a"/>
    <w:link w:val="a6"/>
    <w:uiPriority w:val="99"/>
    <w:unhideWhenUsed/>
    <w:qFormat/>
    <w:rsid w:val="0062595D"/>
    <w:pPr>
      <w:spacing w:after="0" w:line="240" w:lineRule="auto"/>
      <w:ind w:firstLine="709"/>
    </w:pPr>
    <w:rPr>
      <w:rFonts w:ascii="Times New Roman" w:eastAsia="Calibri" w:hAnsi="Times New Roman" w:cs="Times New Roman"/>
      <w:sz w:val="20"/>
      <w:szCs w:val="20"/>
      <w:lang w:val="en-US" w:bidi="en-US"/>
    </w:rPr>
  </w:style>
  <w:style w:type="character" w:customStyle="1" w:styleId="a6">
    <w:name w:val="Текст сноски Знак"/>
    <w:aliases w:val="Текст сноски-FN Знак,single space Знак,footnote text Знак,Table_Footnote_last Знак,Fußnote Знак,FOOTNOTES Знак,fn Знак Знак,Footnote Знак,Fussnote Знак,Footnote Text Char Знак Знак Знак,Footnote Text Char Знак Знак1"/>
    <w:basedOn w:val="a0"/>
    <w:link w:val="a5"/>
    <w:uiPriority w:val="99"/>
    <w:rsid w:val="0062595D"/>
    <w:rPr>
      <w:rFonts w:ascii="Times New Roman" w:eastAsia="Calibri" w:hAnsi="Times New Roman" w:cs="Times New Roman"/>
      <w:sz w:val="20"/>
      <w:szCs w:val="20"/>
      <w:lang w:val="en-US" w:bidi="en-US"/>
    </w:rPr>
  </w:style>
  <w:style w:type="character" w:styleId="a7">
    <w:name w:val="footnote reference"/>
    <w:aliases w:val="Знак сноски 1,Знак сноски-FN,Ciae niinee-FN,Referencia nota al pie,Footnote Reference Number,Footnote Reference_LVL6,Footnote Reference_LVL61,Footnote Reference_LVL62,Footnote Reference_LVL63,Footnote Reference_LVL64,Footnote call,BVI fnr,ft"/>
    <w:basedOn w:val="a0"/>
    <w:unhideWhenUsed/>
    <w:qFormat/>
    <w:rsid w:val="0062595D"/>
    <w:rPr>
      <w:vertAlign w:val="superscript"/>
    </w:rPr>
  </w:style>
  <w:style w:type="character" w:customStyle="1" w:styleId="a4">
    <w:name w:val="Абзац списка Знак"/>
    <w:basedOn w:val="a0"/>
    <w:link w:val="a3"/>
    <w:uiPriority w:val="34"/>
    <w:rsid w:val="0062595D"/>
  </w:style>
  <w:style w:type="character" w:styleId="a8">
    <w:name w:val="Hyperlink"/>
    <w:basedOn w:val="a0"/>
    <w:uiPriority w:val="99"/>
    <w:unhideWhenUsed/>
    <w:rsid w:val="0062595D"/>
    <w:rPr>
      <w:color w:val="0000FF"/>
      <w:u w:val="single"/>
    </w:rPr>
  </w:style>
  <w:style w:type="paragraph" w:styleId="a9">
    <w:name w:val="Balloon Text"/>
    <w:basedOn w:val="a"/>
    <w:link w:val="aa"/>
    <w:uiPriority w:val="99"/>
    <w:semiHidden/>
    <w:unhideWhenUsed/>
    <w:rsid w:val="006259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595D"/>
    <w:rPr>
      <w:rFonts w:ascii="Tahoma" w:hAnsi="Tahoma" w:cs="Tahoma"/>
      <w:sz w:val="16"/>
      <w:szCs w:val="16"/>
    </w:rPr>
  </w:style>
  <w:style w:type="paragraph" w:styleId="ab">
    <w:name w:val="header"/>
    <w:basedOn w:val="a"/>
    <w:link w:val="ac"/>
    <w:uiPriority w:val="99"/>
    <w:semiHidden/>
    <w:unhideWhenUsed/>
    <w:rsid w:val="00C4191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4191A"/>
  </w:style>
  <w:style w:type="paragraph" w:styleId="ad">
    <w:name w:val="footer"/>
    <w:basedOn w:val="a"/>
    <w:link w:val="ae"/>
    <w:uiPriority w:val="99"/>
    <w:unhideWhenUsed/>
    <w:rsid w:val="00C4191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4191A"/>
  </w:style>
  <w:style w:type="character" w:customStyle="1" w:styleId="apple-converted-space">
    <w:name w:val="apple-converted-space"/>
    <w:basedOn w:val="a0"/>
    <w:rsid w:val="00DC3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2595D"/>
    <w:pPr>
      <w:ind w:left="720"/>
      <w:contextualSpacing/>
    </w:pPr>
  </w:style>
  <w:style w:type="paragraph" w:styleId="a5">
    <w:name w:val="footnote text"/>
    <w:aliases w:val="Текст сноски-FN,single space,footnote text,Table_Footnote_last,Fußnote,FOOTNOTES,fn Знак,Footnote,Fussnote,Footnote Text Char Знак Знак,Footnote Text Char Знак,Footnote Text Char,Текст сноски Знак Знак Char,Texto de nota al pie Char"/>
    <w:basedOn w:val="a"/>
    <w:link w:val="a6"/>
    <w:uiPriority w:val="99"/>
    <w:unhideWhenUsed/>
    <w:qFormat/>
    <w:rsid w:val="0062595D"/>
    <w:pPr>
      <w:spacing w:after="0" w:line="240" w:lineRule="auto"/>
      <w:ind w:firstLine="709"/>
    </w:pPr>
    <w:rPr>
      <w:rFonts w:ascii="Times New Roman" w:eastAsia="Calibri" w:hAnsi="Times New Roman" w:cs="Times New Roman"/>
      <w:sz w:val="20"/>
      <w:szCs w:val="20"/>
      <w:lang w:val="en-US" w:bidi="en-US"/>
    </w:rPr>
  </w:style>
  <w:style w:type="character" w:customStyle="1" w:styleId="a6">
    <w:name w:val="Текст сноски Знак"/>
    <w:aliases w:val="Текст сноски-FN Знак,single space Знак,footnote text Знак,Table_Footnote_last Знак,Fußnote Знак,FOOTNOTES Знак,fn Знак Знак,Footnote Знак,Fussnote Знак,Footnote Text Char Знак Знак Знак,Footnote Text Char Знак Знак1"/>
    <w:basedOn w:val="a0"/>
    <w:link w:val="a5"/>
    <w:uiPriority w:val="99"/>
    <w:rsid w:val="0062595D"/>
    <w:rPr>
      <w:rFonts w:ascii="Times New Roman" w:eastAsia="Calibri" w:hAnsi="Times New Roman" w:cs="Times New Roman"/>
      <w:sz w:val="20"/>
      <w:szCs w:val="20"/>
      <w:lang w:val="en-US" w:bidi="en-US"/>
    </w:rPr>
  </w:style>
  <w:style w:type="character" w:styleId="a7">
    <w:name w:val="footnote reference"/>
    <w:aliases w:val="Знак сноски 1,Знак сноски-FN,Ciae niinee-FN,Referencia nota al pie,Footnote Reference Number,Footnote Reference_LVL6,Footnote Reference_LVL61,Footnote Reference_LVL62,Footnote Reference_LVL63,Footnote Reference_LVL64,Footnote call,BVI fnr,ft"/>
    <w:basedOn w:val="a0"/>
    <w:unhideWhenUsed/>
    <w:qFormat/>
    <w:rsid w:val="0062595D"/>
    <w:rPr>
      <w:vertAlign w:val="superscript"/>
    </w:rPr>
  </w:style>
  <w:style w:type="character" w:customStyle="1" w:styleId="a4">
    <w:name w:val="Абзац списка Знак"/>
    <w:basedOn w:val="a0"/>
    <w:link w:val="a3"/>
    <w:uiPriority w:val="34"/>
    <w:rsid w:val="0062595D"/>
  </w:style>
  <w:style w:type="character" w:styleId="a8">
    <w:name w:val="Hyperlink"/>
    <w:basedOn w:val="a0"/>
    <w:uiPriority w:val="99"/>
    <w:unhideWhenUsed/>
    <w:rsid w:val="0062595D"/>
    <w:rPr>
      <w:color w:val="0000FF"/>
      <w:u w:val="single"/>
    </w:rPr>
  </w:style>
  <w:style w:type="paragraph" w:styleId="a9">
    <w:name w:val="Balloon Text"/>
    <w:basedOn w:val="a"/>
    <w:link w:val="aa"/>
    <w:uiPriority w:val="99"/>
    <w:semiHidden/>
    <w:unhideWhenUsed/>
    <w:rsid w:val="006259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595D"/>
    <w:rPr>
      <w:rFonts w:ascii="Tahoma" w:hAnsi="Tahoma" w:cs="Tahoma"/>
      <w:sz w:val="16"/>
      <w:szCs w:val="16"/>
    </w:rPr>
  </w:style>
  <w:style w:type="paragraph" w:styleId="ab">
    <w:name w:val="header"/>
    <w:basedOn w:val="a"/>
    <w:link w:val="ac"/>
    <w:uiPriority w:val="99"/>
    <w:semiHidden/>
    <w:unhideWhenUsed/>
    <w:rsid w:val="00C4191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4191A"/>
  </w:style>
  <w:style w:type="paragraph" w:styleId="ad">
    <w:name w:val="footer"/>
    <w:basedOn w:val="a"/>
    <w:link w:val="ae"/>
    <w:uiPriority w:val="99"/>
    <w:unhideWhenUsed/>
    <w:rsid w:val="00C4191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4191A"/>
  </w:style>
  <w:style w:type="character" w:customStyle="1" w:styleId="apple-converted-space">
    <w:name w:val="apple-converted-space"/>
    <w:basedOn w:val="a0"/>
    <w:rsid w:val="00DC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6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steco@kareli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steco@kareli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1089;&#1090;&#1072;&#1090;&#1100;&#1080;%2016\&#1084;&#1080;&#1088;%20&#1087;&#1077;&#1088;&#1077;&#1084;&#1077;&#1085;\&#1042;&#1056;&#105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89;&#1090;&#1072;&#1090;&#1100;&#1080;%2016\&#1084;&#1080;&#1088;%20&#1087;&#1077;&#1088;&#1077;&#1084;&#1077;&#1085;\&#1042;&#1056;&#105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53;&#1086;&#1074;&#1086;&#1089;&#1080;&#1073;&#1080;&#1088;&#1089;&#1082;16\&#1087;&#1088;&#1077;&#1076;&#1087;&#1088;&#1080;&#108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825315633738913E-2"/>
          <c:y val="5.0920179597620727E-2"/>
          <c:w val="0.89425921323881596"/>
          <c:h val="0.5641483831000691"/>
        </c:manualLayout>
      </c:layout>
      <c:lineChart>
        <c:grouping val="standard"/>
        <c:varyColors val="0"/>
        <c:ser>
          <c:idx val="0"/>
          <c:order val="0"/>
          <c:tx>
            <c:strRef>
              <c:f>Лист4!$X$84</c:f>
              <c:strCache>
                <c:ptCount val="1"/>
                <c:pt idx="0">
                  <c:v>Российская Федерация</c:v>
                </c:pt>
              </c:strCache>
            </c:strRef>
          </c:tx>
          <c:spPr>
            <a:ln w="6350">
              <a:noFill/>
            </a:ln>
          </c:spPr>
          <c:marker>
            <c:symbol val="none"/>
          </c:marker>
          <c:trendline>
            <c:name>Российская Федерация</c:name>
            <c:spPr>
              <a:ln w="25400">
                <a:solidFill>
                  <a:schemeClr val="tx1"/>
                </a:solidFill>
              </a:ln>
            </c:spPr>
            <c:trendlineType val="poly"/>
            <c:order val="3"/>
            <c:dispRSqr val="0"/>
            <c:dispEq val="0"/>
          </c:trendline>
          <c:cat>
            <c:numRef>
              <c:f>Лист4!$B$82:$O$82</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Лист4!$Y$84:$AL$84</c:f>
              <c:numCache>
                <c:formatCode>General</c:formatCode>
                <c:ptCount val="14"/>
                <c:pt idx="0">
                  <c:v>20.566364962504988</c:v>
                </c:pt>
                <c:pt idx="1">
                  <c:v>23.144612466695918</c:v>
                </c:pt>
                <c:pt idx="2">
                  <c:v>21.848753089271572</c:v>
                </c:pt>
                <c:pt idx="3">
                  <c:v>22.190747221811673</c:v>
                </c:pt>
                <c:pt idx="4">
                  <c:v>22.145820443027549</c:v>
                </c:pt>
                <c:pt idx="5">
                  <c:v>20.952748087026489</c:v>
                </c:pt>
                <c:pt idx="6">
                  <c:v>21.76529107554618</c:v>
                </c:pt>
                <c:pt idx="7">
                  <c:v>24.586365742906558</c:v>
                </c:pt>
                <c:pt idx="8">
                  <c:v>26.486057508560776</c:v>
                </c:pt>
                <c:pt idx="9">
                  <c:v>25.797275813910915</c:v>
                </c:pt>
                <c:pt idx="10">
                  <c:v>25.705685591645082</c:v>
                </c:pt>
                <c:pt idx="11">
                  <c:v>25.411615452194315</c:v>
                </c:pt>
                <c:pt idx="12">
                  <c:v>26.423704776899449</c:v>
                </c:pt>
                <c:pt idx="13">
                  <c:v>26.003428966088975</c:v>
                </c:pt>
              </c:numCache>
            </c:numRef>
          </c:val>
          <c:smooth val="0"/>
        </c:ser>
        <c:ser>
          <c:idx val="1"/>
          <c:order val="1"/>
          <c:tx>
            <c:strRef>
              <c:f>Лист4!$X$85</c:f>
              <c:strCache>
                <c:ptCount val="1"/>
                <c:pt idx="0">
                  <c:v>Северо-Западный федеральный округ</c:v>
                </c:pt>
              </c:strCache>
            </c:strRef>
          </c:tx>
          <c:spPr>
            <a:ln w="6350">
              <a:noFill/>
            </a:ln>
          </c:spPr>
          <c:marker>
            <c:symbol val="none"/>
          </c:marker>
          <c:trendline>
            <c:name>СЗФО</c:name>
            <c:spPr>
              <a:ln w="38100">
                <a:solidFill>
                  <a:schemeClr val="tx1"/>
                </a:solidFill>
                <a:prstDash val="dashDot"/>
              </a:ln>
            </c:spPr>
            <c:trendlineType val="poly"/>
            <c:order val="2"/>
            <c:dispRSqr val="0"/>
            <c:dispEq val="0"/>
          </c:trendline>
          <c:cat>
            <c:numRef>
              <c:f>Лист4!$B$82:$O$82</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Лист4!$Y$85:$AL$85</c:f>
              <c:numCache>
                <c:formatCode>General</c:formatCode>
                <c:ptCount val="14"/>
                <c:pt idx="0">
                  <c:v>20.552953156646897</c:v>
                </c:pt>
                <c:pt idx="1">
                  <c:v>26.06985281621203</c:v>
                </c:pt>
                <c:pt idx="2">
                  <c:v>24.059202348284327</c:v>
                </c:pt>
                <c:pt idx="3">
                  <c:v>28.347276624353302</c:v>
                </c:pt>
                <c:pt idx="4">
                  <c:v>26.468558162619111</c:v>
                </c:pt>
                <c:pt idx="5">
                  <c:v>28.245021253150789</c:v>
                </c:pt>
                <c:pt idx="6">
                  <c:v>30.109291879225403</c:v>
                </c:pt>
                <c:pt idx="7">
                  <c:v>30.996784986099506</c:v>
                </c:pt>
                <c:pt idx="8">
                  <c:v>31.784734536735122</c:v>
                </c:pt>
                <c:pt idx="9">
                  <c:v>28.386469663503256</c:v>
                </c:pt>
                <c:pt idx="10">
                  <c:v>29.856775726894256</c:v>
                </c:pt>
                <c:pt idx="11">
                  <c:v>29.057344074456225</c:v>
                </c:pt>
                <c:pt idx="12">
                  <c:v>29.994546935940939</c:v>
                </c:pt>
                <c:pt idx="13">
                  <c:v>26.578074814285287</c:v>
                </c:pt>
              </c:numCache>
            </c:numRef>
          </c:val>
          <c:smooth val="0"/>
        </c:ser>
        <c:ser>
          <c:idx val="2"/>
          <c:order val="2"/>
          <c:tx>
            <c:strRef>
              <c:f>Лист4!$X$86</c:f>
              <c:strCache>
                <c:ptCount val="1"/>
                <c:pt idx="0">
                  <c:v>Южный федеральный округ</c:v>
                </c:pt>
              </c:strCache>
            </c:strRef>
          </c:tx>
          <c:spPr>
            <a:ln w="25400">
              <a:noFill/>
              <a:prstDash val="sysDot"/>
            </a:ln>
          </c:spPr>
          <c:marker>
            <c:symbol val="none"/>
          </c:marker>
          <c:trendline>
            <c:name>ЮФО</c:name>
            <c:spPr>
              <a:ln w="38100" cmpd="dbl">
                <a:solidFill>
                  <a:schemeClr val="bg1">
                    <a:lumMod val="65000"/>
                  </a:schemeClr>
                </a:solidFill>
                <a:prstDash val="solid"/>
              </a:ln>
            </c:spPr>
            <c:trendlineType val="poly"/>
            <c:order val="3"/>
            <c:dispRSqr val="0"/>
            <c:dispEq val="0"/>
          </c:trendline>
          <c:cat>
            <c:numRef>
              <c:f>Лист4!$B$82:$O$82</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Лист4!$Y$86:$AL$86</c:f>
              <c:numCache>
                <c:formatCode>General</c:formatCode>
                <c:ptCount val="14"/>
                <c:pt idx="0">
                  <c:v>31.383278761883091</c:v>
                </c:pt>
                <c:pt idx="1">
                  <c:v>31.462137527399019</c:v>
                </c:pt>
                <c:pt idx="2">
                  <c:v>28.20855115744569</c:v>
                </c:pt>
                <c:pt idx="3">
                  <c:v>27.003333552963142</c:v>
                </c:pt>
                <c:pt idx="4">
                  <c:v>26.98608557316852</c:v>
                </c:pt>
                <c:pt idx="5">
                  <c:v>26.854774378325029</c:v>
                </c:pt>
                <c:pt idx="6">
                  <c:v>27.61154774390279</c:v>
                </c:pt>
                <c:pt idx="7">
                  <c:v>32.235147562629763</c:v>
                </c:pt>
                <c:pt idx="8">
                  <c:v>36.067010758770813</c:v>
                </c:pt>
                <c:pt idx="9">
                  <c:v>37.066678363086105</c:v>
                </c:pt>
                <c:pt idx="10">
                  <c:v>39.725079834276301</c:v>
                </c:pt>
                <c:pt idx="11">
                  <c:v>39.708136523834078</c:v>
                </c:pt>
                <c:pt idx="12">
                  <c:v>40.149822638761783</c:v>
                </c:pt>
                <c:pt idx="13">
                  <c:v>43.165259150860372</c:v>
                </c:pt>
              </c:numCache>
            </c:numRef>
          </c:val>
          <c:smooth val="0"/>
        </c:ser>
        <c:ser>
          <c:idx val="3"/>
          <c:order val="3"/>
          <c:tx>
            <c:strRef>
              <c:f>Лист4!$X$87</c:f>
              <c:strCache>
                <c:ptCount val="1"/>
                <c:pt idx="0">
                  <c:v>Приволжский федеральный округ </c:v>
                </c:pt>
              </c:strCache>
            </c:strRef>
          </c:tx>
          <c:spPr>
            <a:ln w="6350">
              <a:noFill/>
            </a:ln>
          </c:spPr>
          <c:marker>
            <c:symbol val="none"/>
          </c:marker>
          <c:trendline>
            <c:name>ПФО</c:name>
            <c:spPr>
              <a:ln w="38100">
                <a:solidFill>
                  <a:schemeClr val="tx1"/>
                </a:solidFill>
                <a:prstDash val="sysDot"/>
              </a:ln>
            </c:spPr>
            <c:trendlineType val="poly"/>
            <c:order val="3"/>
            <c:dispRSqr val="0"/>
            <c:dispEq val="0"/>
          </c:trendline>
          <c:cat>
            <c:numRef>
              <c:f>Лист4!$B$82:$O$82</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Лист4!$Y$87:$AL$87</c:f>
              <c:numCache>
                <c:formatCode>General</c:formatCode>
                <c:ptCount val="14"/>
                <c:pt idx="0">
                  <c:v>20.037712591472289</c:v>
                </c:pt>
                <c:pt idx="1">
                  <c:v>22.634308935982915</c:v>
                </c:pt>
                <c:pt idx="2">
                  <c:v>21.367069963007047</c:v>
                </c:pt>
                <c:pt idx="3">
                  <c:v>20.647864171589731</c:v>
                </c:pt>
                <c:pt idx="4">
                  <c:v>21.390673482790771</c:v>
                </c:pt>
                <c:pt idx="5">
                  <c:v>22.376408248282917</c:v>
                </c:pt>
                <c:pt idx="6">
                  <c:v>22.740945543126124</c:v>
                </c:pt>
                <c:pt idx="7">
                  <c:v>26.386232620538429</c:v>
                </c:pt>
                <c:pt idx="8">
                  <c:v>27.949532640661342</c:v>
                </c:pt>
                <c:pt idx="9">
                  <c:v>26.518993326909136</c:v>
                </c:pt>
                <c:pt idx="10">
                  <c:v>25.91401919666869</c:v>
                </c:pt>
                <c:pt idx="11">
                  <c:v>24.765570911006293</c:v>
                </c:pt>
                <c:pt idx="12">
                  <c:v>26.286591394763956</c:v>
                </c:pt>
                <c:pt idx="13">
                  <c:v>27.251463950533829</c:v>
                </c:pt>
              </c:numCache>
            </c:numRef>
          </c:val>
          <c:smooth val="0"/>
        </c:ser>
        <c:ser>
          <c:idx val="4"/>
          <c:order val="4"/>
          <c:tx>
            <c:strRef>
              <c:f>Лист4!$X$88</c:f>
              <c:strCache>
                <c:ptCount val="1"/>
                <c:pt idx="0">
                  <c:v>Уральский федеральный округ</c:v>
                </c:pt>
              </c:strCache>
            </c:strRef>
          </c:tx>
          <c:spPr>
            <a:ln w="6350">
              <a:noFill/>
            </a:ln>
          </c:spPr>
          <c:marker>
            <c:symbol val="none"/>
          </c:marker>
          <c:trendline>
            <c:name>УФО</c:name>
            <c:spPr>
              <a:ln w="38100" cmpd="dbl">
                <a:solidFill>
                  <a:schemeClr val="bg1">
                    <a:lumMod val="50000"/>
                  </a:schemeClr>
                </a:solidFill>
                <a:prstDash val="dash"/>
              </a:ln>
            </c:spPr>
            <c:trendlineType val="poly"/>
            <c:order val="3"/>
            <c:dispRSqr val="0"/>
            <c:dispEq val="0"/>
          </c:trendline>
          <c:cat>
            <c:numRef>
              <c:f>Лист4!$B$82:$O$82</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Лист4!$Y$88:$AL$88</c:f>
              <c:numCache>
                <c:formatCode>General</c:formatCode>
                <c:ptCount val="14"/>
                <c:pt idx="0">
                  <c:v>30.48068576965165</c:v>
                </c:pt>
                <c:pt idx="1">
                  <c:v>33.665474146691551</c:v>
                </c:pt>
                <c:pt idx="2">
                  <c:v>31.936659041779073</c:v>
                </c:pt>
                <c:pt idx="3">
                  <c:v>29.37068698114718</c:v>
                </c:pt>
                <c:pt idx="4">
                  <c:v>25.966001611811226</c:v>
                </c:pt>
                <c:pt idx="5">
                  <c:v>20.358586822659987</c:v>
                </c:pt>
                <c:pt idx="6">
                  <c:v>22.521086695262987</c:v>
                </c:pt>
                <c:pt idx="7">
                  <c:v>26.973015976842007</c:v>
                </c:pt>
                <c:pt idx="8">
                  <c:v>31.495520455313681</c:v>
                </c:pt>
                <c:pt idx="9">
                  <c:v>31.452362085831723</c:v>
                </c:pt>
                <c:pt idx="10">
                  <c:v>30.466570828712563</c:v>
                </c:pt>
                <c:pt idx="11">
                  <c:v>30.184658060606662</c:v>
                </c:pt>
                <c:pt idx="12">
                  <c:v>29.686192634548128</c:v>
                </c:pt>
                <c:pt idx="13">
                  <c:v>29.587480835381001</c:v>
                </c:pt>
              </c:numCache>
            </c:numRef>
          </c:val>
          <c:smooth val="0"/>
        </c:ser>
        <c:ser>
          <c:idx val="5"/>
          <c:order val="5"/>
          <c:tx>
            <c:strRef>
              <c:f>Лист4!$X$89</c:f>
              <c:strCache>
                <c:ptCount val="1"/>
                <c:pt idx="0">
                  <c:v>Сибирский федеральный округ</c:v>
                </c:pt>
              </c:strCache>
            </c:strRef>
          </c:tx>
          <c:spPr>
            <a:ln w="6350">
              <a:noFill/>
            </a:ln>
          </c:spPr>
          <c:marker>
            <c:symbol val="none"/>
          </c:marker>
          <c:trendline>
            <c:name>СФО</c:name>
            <c:spPr>
              <a:ln w="38100">
                <a:solidFill>
                  <a:schemeClr val="tx1"/>
                </a:solidFill>
                <a:prstDash val="lgDashDotDot"/>
              </a:ln>
            </c:spPr>
            <c:trendlineType val="poly"/>
            <c:order val="3"/>
            <c:dispRSqr val="0"/>
            <c:dispEq val="0"/>
          </c:trendline>
          <c:cat>
            <c:numRef>
              <c:f>Лист4!$B$82:$O$82</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Лист4!$Y$89:$AL$89</c:f>
              <c:numCache>
                <c:formatCode>General</c:formatCode>
                <c:ptCount val="14"/>
                <c:pt idx="0">
                  <c:v>14.285616562368856</c:v>
                </c:pt>
                <c:pt idx="1">
                  <c:v>16.826063191722913</c:v>
                </c:pt>
                <c:pt idx="2">
                  <c:v>15.831248354527972</c:v>
                </c:pt>
                <c:pt idx="3">
                  <c:v>17.19393745039153</c:v>
                </c:pt>
                <c:pt idx="4">
                  <c:v>16.778866055984793</c:v>
                </c:pt>
                <c:pt idx="5">
                  <c:v>18.586712013543202</c:v>
                </c:pt>
                <c:pt idx="6">
                  <c:v>20.568954750374047</c:v>
                </c:pt>
                <c:pt idx="7">
                  <c:v>24.512159519298898</c:v>
                </c:pt>
                <c:pt idx="8">
                  <c:v>28.317460487155731</c:v>
                </c:pt>
                <c:pt idx="9">
                  <c:v>25.709181663549227</c:v>
                </c:pt>
                <c:pt idx="10">
                  <c:v>25.056002883675184</c:v>
                </c:pt>
                <c:pt idx="11">
                  <c:v>26.556449726623246</c:v>
                </c:pt>
                <c:pt idx="12">
                  <c:v>29.590726166196418</c:v>
                </c:pt>
                <c:pt idx="13">
                  <c:v>27.235652678251231</c:v>
                </c:pt>
              </c:numCache>
            </c:numRef>
          </c:val>
          <c:smooth val="0"/>
        </c:ser>
        <c:ser>
          <c:idx val="6"/>
          <c:order val="6"/>
          <c:tx>
            <c:strRef>
              <c:f>Лист4!$X$90</c:f>
              <c:strCache>
                <c:ptCount val="1"/>
                <c:pt idx="0">
                  <c:v>Дальневосточный федеральный округ</c:v>
                </c:pt>
              </c:strCache>
            </c:strRef>
          </c:tx>
          <c:spPr>
            <a:ln w="6350">
              <a:noFill/>
            </a:ln>
          </c:spPr>
          <c:marker>
            <c:symbol val="none"/>
          </c:marker>
          <c:trendline>
            <c:name>ДВФО</c:name>
            <c:spPr>
              <a:ln w="38100">
                <a:solidFill>
                  <a:schemeClr val="tx1"/>
                </a:solidFill>
                <a:prstDash val="sysDash"/>
              </a:ln>
            </c:spPr>
            <c:trendlineType val="poly"/>
            <c:order val="3"/>
            <c:dispRSqr val="0"/>
            <c:dispEq val="0"/>
          </c:trendline>
          <c:cat>
            <c:numRef>
              <c:f>Лист4!$B$82:$O$82</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Лист4!$Y$90:$AL$90</c:f>
              <c:numCache>
                <c:formatCode>General</c:formatCode>
                <c:ptCount val="14"/>
                <c:pt idx="0">
                  <c:v>17.107073637919505</c:v>
                </c:pt>
                <c:pt idx="1">
                  <c:v>23.809284346612138</c:v>
                </c:pt>
                <c:pt idx="2">
                  <c:v>25.618167804733499</c:v>
                </c:pt>
                <c:pt idx="3">
                  <c:v>26.415236245788488</c:v>
                </c:pt>
                <c:pt idx="4">
                  <c:v>33.931600398792106</c:v>
                </c:pt>
                <c:pt idx="5">
                  <c:v>34.744077993111752</c:v>
                </c:pt>
                <c:pt idx="6">
                  <c:v>34.53425980541342</c:v>
                </c:pt>
                <c:pt idx="7">
                  <c:v>35.541767312514885</c:v>
                </c:pt>
                <c:pt idx="8">
                  <c:v>39.602522145391163</c:v>
                </c:pt>
                <c:pt idx="9">
                  <c:v>40.938465172764325</c:v>
                </c:pt>
                <c:pt idx="10">
                  <c:v>38.668879244368163</c:v>
                </c:pt>
                <c:pt idx="11">
                  <c:v>43.025944136953129</c:v>
                </c:pt>
                <c:pt idx="12">
                  <c:v>37.062282684476763</c:v>
                </c:pt>
                <c:pt idx="13">
                  <c:v>31.071521329934065</c:v>
                </c:pt>
              </c:numCache>
            </c:numRef>
          </c:val>
          <c:smooth val="0"/>
        </c:ser>
        <c:ser>
          <c:idx val="7"/>
          <c:order val="7"/>
          <c:tx>
            <c:strRef>
              <c:f>Лист4!$A$84</c:f>
              <c:strCache>
                <c:ptCount val="1"/>
                <c:pt idx="0">
                  <c:v>Центральный федеральный округ</c:v>
                </c:pt>
              </c:strCache>
            </c:strRef>
          </c:tx>
          <c:spPr>
            <a:ln w="6350">
              <a:noFill/>
            </a:ln>
          </c:spPr>
          <c:marker>
            <c:symbol val="none"/>
          </c:marker>
          <c:trendline>
            <c:name>ЦФО</c:name>
            <c:spPr>
              <a:ln w="38100" cap="flat">
                <a:solidFill>
                  <a:schemeClr val="tx1"/>
                </a:solidFill>
                <a:prstDash val="sysDash"/>
              </a:ln>
            </c:spPr>
            <c:trendlineType val="poly"/>
            <c:order val="5"/>
            <c:dispRSqr val="0"/>
            <c:dispEq val="0"/>
          </c:trendline>
          <c:cat>
            <c:numRef>
              <c:f>Лист4!$B$82:$O$82</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Лист4!$B$84:$O$84</c:f>
              <c:numCache>
                <c:formatCode>0.00</c:formatCode>
                <c:ptCount val="14"/>
                <c:pt idx="0">
                  <c:v>16.574128825165189</c:v>
                </c:pt>
                <c:pt idx="1">
                  <c:v>17.410222752142229</c:v>
                </c:pt>
                <c:pt idx="2">
                  <c:v>21.374011878628497</c:v>
                </c:pt>
                <c:pt idx="3">
                  <c:v>21.950265479009495</c:v>
                </c:pt>
                <c:pt idx="4">
                  <c:v>23.699863787925697</c:v>
                </c:pt>
                <c:pt idx="5">
                  <c:v>22.035917848705488</c:v>
                </c:pt>
                <c:pt idx="6">
                  <c:v>20.469583836490159</c:v>
                </c:pt>
                <c:pt idx="7">
                  <c:v>23.037441952741872</c:v>
                </c:pt>
                <c:pt idx="8">
                  <c:v>22.864467797600135</c:v>
                </c:pt>
                <c:pt idx="9">
                  <c:v>15.790988988790648</c:v>
                </c:pt>
                <c:pt idx="10">
                  <c:v>17.676283893741289</c:v>
                </c:pt>
                <c:pt idx="11">
                  <c:v>16.594286242520429</c:v>
                </c:pt>
                <c:pt idx="12">
                  <c:v>18.437614059138259</c:v>
                </c:pt>
                <c:pt idx="13">
                  <c:v>19.005849951750086</c:v>
                </c:pt>
              </c:numCache>
            </c:numRef>
          </c:val>
          <c:smooth val="0"/>
        </c:ser>
        <c:dLbls>
          <c:showLegendKey val="0"/>
          <c:showVal val="0"/>
          <c:showCatName val="0"/>
          <c:showSerName val="0"/>
          <c:showPercent val="0"/>
          <c:showBubbleSize val="0"/>
        </c:dLbls>
        <c:marker val="1"/>
        <c:smooth val="0"/>
        <c:axId val="93748224"/>
        <c:axId val="93758208"/>
      </c:lineChart>
      <c:catAx>
        <c:axId val="93748224"/>
        <c:scaling>
          <c:orientation val="minMax"/>
        </c:scaling>
        <c:delete val="0"/>
        <c:axPos val="b"/>
        <c:majorGridlines/>
        <c:numFmt formatCode="General" sourceLinked="1"/>
        <c:majorTickMark val="out"/>
        <c:minorTickMark val="none"/>
        <c:tickLblPos val="nextTo"/>
        <c:txPr>
          <a:bodyPr/>
          <a:lstStyle/>
          <a:p>
            <a:pPr>
              <a:defRPr sz="1000" baseline="0"/>
            </a:pPr>
            <a:endParaRPr lang="ru-RU"/>
          </a:p>
        </c:txPr>
        <c:crossAx val="93758208"/>
        <c:crosses val="autoZero"/>
        <c:auto val="1"/>
        <c:lblAlgn val="ctr"/>
        <c:lblOffset val="100"/>
        <c:noMultiLvlLbl val="0"/>
      </c:catAx>
      <c:valAx>
        <c:axId val="93758208"/>
        <c:scaling>
          <c:orientation val="minMax"/>
          <c:min val="10"/>
        </c:scaling>
        <c:delete val="0"/>
        <c:axPos val="l"/>
        <c:majorGridlines/>
        <c:numFmt formatCode="General" sourceLinked="1"/>
        <c:majorTickMark val="out"/>
        <c:minorTickMark val="none"/>
        <c:tickLblPos val="nextTo"/>
        <c:txPr>
          <a:bodyPr/>
          <a:lstStyle/>
          <a:p>
            <a:pPr>
              <a:defRPr sz="1000" baseline="0"/>
            </a:pPr>
            <a:endParaRPr lang="ru-RU"/>
          </a:p>
        </c:txPr>
        <c:crossAx val="93748224"/>
        <c:crosses val="autoZero"/>
        <c:crossBetween val="between"/>
      </c:valAx>
    </c:plotArea>
    <c:legend>
      <c:legendPos val="b"/>
      <c:legendEntry>
        <c:idx val="0"/>
        <c:delete val="1"/>
      </c:legendEntry>
      <c:legendEntry>
        <c:idx val="1"/>
        <c:delete val="1"/>
      </c:legendEntry>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ayout>
        <c:manualLayout>
          <c:xMode val="edge"/>
          <c:yMode val="edge"/>
          <c:x val="5.4784756262821817E-2"/>
          <c:y val="0.73717943793611185"/>
          <c:w val="0.90875236895504075"/>
          <c:h val="0.23530222901241823"/>
        </c:manualLayout>
      </c:layout>
      <c:overlay val="0"/>
      <c:txPr>
        <a:bodyPr/>
        <a:lstStyle/>
        <a:p>
          <a:pPr>
            <a:defRPr sz="1000" baseline="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232659485388863E-2"/>
          <c:y val="5.2557481600483132E-2"/>
          <c:w val="0.88721817589998409"/>
          <c:h val="0.53398676532839129"/>
        </c:manualLayout>
      </c:layout>
      <c:lineChart>
        <c:grouping val="standard"/>
        <c:varyColors val="0"/>
        <c:ser>
          <c:idx val="0"/>
          <c:order val="0"/>
          <c:tx>
            <c:strRef>
              <c:f>Лист1!$A$261</c:f>
              <c:strCache>
                <c:ptCount val="1"/>
                <c:pt idx="0">
                  <c:v>Республика Карелия</c:v>
                </c:pt>
              </c:strCache>
            </c:strRef>
          </c:tx>
          <c:spPr>
            <a:ln>
              <a:noFill/>
            </a:ln>
          </c:spPr>
          <c:marker>
            <c:symbol val="none"/>
          </c:marker>
          <c:trendline>
            <c:name>Респ. Карелия</c:name>
            <c:spPr>
              <a:ln w="38100">
                <a:solidFill>
                  <a:schemeClr val="bg1">
                    <a:lumMod val="50000"/>
                  </a:schemeClr>
                </a:solidFill>
                <a:prstDash val="lgDashDotDot"/>
              </a:ln>
            </c:spPr>
            <c:trendlineType val="poly"/>
            <c:order val="4"/>
            <c:dispRSqr val="0"/>
            <c:dispEq val="0"/>
          </c:trendline>
          <c:cat>
            <c:numRef>
              <c:f>Лист1!$B$226:$O$226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Лист1!$B$261:$O$261</c:f>
              <c:numCache>
                <c:formatCode>0.0</c:formatCode>
                <c:ptCount val="14"/>
                <c:pt idx="0">
                  <c:v>22.152715260893299</c:v>
                </c:pt>
                <c:pt idx="1">
                  <c:v>26.871226409499091</c:v>
                </c:pt>
                <c:pt idx="2">
                  <c:v>23.24985977602849</c:v>
                </c:pt>
                <c:pt idx="3">
                  <c:v>22.483467091946789</c:v>
                </c:pt>
                <c:pt idx="4">
                  <c:v>26.412003535683791</c:v>
                </c:pt>
                <c:pt idx="5">
                  <c:v>20.404202020621089</c:v>
                </c:pt>
                <c:pt idx="6">
                  <c:v>21.881362914839787</c:v>
                </c:pt>
                <c:pt idx="7">
                  <c:v>18.723023078621669</c:v>
                </c:pt>
                <c:pt idx="8">
                  <c:v>23.147484293652731</c:v>
                </c:pt>
                <c:pt idx="9">
                  <c:v>17.966270821860423</c:v>
                </c:pt>
                <c:pt idx="10">
                  <c:v>19.610360190289231</c:v>
                </c:pt>
                <c:pt idx="11">
                  <c:v>19.593272054813792</c:v>
                </c:pt>
                <c:pt idx="12">
                  <c:v>21.489665291606929</c:v>
                </c:pt>
                <c:pt idx="13">
                  <c:v>20.338911777241091</c:v>
                </c:pt>
              </c:numCache>
            </c:numRef>
          </c:val>
          <c:smooth val="0"/>
        </c:ser>
        <c:ser>
          <c:idx val="1"/>
          <c:order val="1"/>
          <c:tx>
            <c:strRef>
              <c:f>Лист1!$A$262</c:f>
              <c:strCache>
                <c:ptCount val="1"/>
                <c:pt idx="0">
                  <c:v>Республика Коми</c:v>
                </c:pt>
              </c:strCache>
            </c:strRef>
          </c:tx>
          <c:spPr>
            <a:ln>
              <a:noFill/>
            </a:ln>
          </c:spPr>
          <c:marker>
            <c:symbol val="none"/>
          </c:marker>
          <c:trendline>
            <c:name>Респ. Коми</c:name>
            <c:spPr>
              <a:ln w="38100">
                <a:solidFill>
                  <a:sysClr val="windowText" lastClr="000000"/>
                </a:solidFill>
                <a:prstDash val="sysDot"/>
              </a:ln>
            </c:spPr>
            <c:trendlineType val="poly"/>
            <c:order val="4"/>
            <c:dispRSqr val="0"/>
            <c:dispEq val="0"/>
          </c:trendline>
          <c:cat>
            <c:numRef>
              <c:f>Лист1!$B$226:$O$226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Лист1!$B$262:$O$262</c:f>
              <c:numCache>
                <c:formatCode>0.0</c:formatCode>
                <c:ptCount val="14"/>
                <c:pt idx="0">
                  <c:v>30.288147078258806</c:v>
                </c:pt>
                <c:pt idx="1">
                  <c:v>32.208006234310432</c:v>
                </c:pt>
                <c:pt idx="2">
                  <c:v>28.060646784329844</c:v>
                </c:pt>
                <c:pt idx="3">
                  <c:v>25.955818533070772</c:v>
                </c:pt>
                <c:pt idx="4">
                  <c:v>28.591892877769876</c:v>
                </c:pt>
                <c:pt idx="5">
                  <c:v>31.742857276284926</c:v>
                </c:pt>
                <c:pt idx="6">
                  <c:v>35.527965263510055</c:v>
                </c:pt>
                <c:pt idx="7">
                  <c:v>28.569959423679435</c:v>
                </c:pt>
                <c:pt idx="8">
                  <c:v>30.423721291886089</c:v>
                </c:pt>
                <c:pt idx="9">
                  <c:v>37.482200325138514</c:v>
                </c:pt>
                <c:pt idx="10">
                  <c:v>33.201188063970065</c:v>
                </c:pt>
                <c:pt idx="11">
                  <c:v>48.148714799753101</c:v>
                </c:pt>
                <c:pt idx="12">
                  <c:v>50.732165845286303</c:v>
                </c:pt>
                <c:pt idx="13">
                  <c:v>42.163617434936675</c:v>
                </c:pt>
              </c:numCache>
            </c:numRef>
          </c:val>
          <c:smooth val="0"/>
        </c:ser>
        <c:ser>
          <c:idx val="2"/>
          <c:order val="2"/>
          <c:tx>
            <c:strRef>
              <c:f>Лист1!$A$263</c:f>
              <c:strCache>
                <c:ptCount val="1"/>
                <c:pt idx="0">
                  <c:v>Архангельская область</c:v>
                </c:pt>
              </c:strCache>
            </c:strRef>
          </c:tx>
          <c:spPr>
            <a:ln>
              <a:noFill/>
            </a:ln>
          </c:spPr>
          <c:marker>
            <c:symbol val="none"/>
          </c:marker>
          <c:trendline>
            <c:name>Архангельская обл.</c:name>
            <c:spPr>
              <a:ln w="38100">
                <a:solidFill>
                  <a:schemeClr val="tx1"/>
                </a:solidFill>
                <a:prstDash val="sysDash"/>
              </a:ln>
            </c:spPr>
            <c:trendlineType val="poly"/>
            <c:order val="3"/>
            <c:dispRSqr val="0"/>
            <c:dispEq val="0"/>
          </c:trendline>
          <c:cat>
            <c:numRef>
              <c:f>Лист1!$B$226:$O$226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Лист1!$B$263:$O$263</c:f>
              <c:numCache>
                <c:formatCode>0.0</c:formatCode>
                <c:ptCount val="14"/>
                <c:pt idx="0">
                  <c:v>16.746026738114907</c:v>
                </c:pt>
                <c:pt idx="1">
                  <c:v>23.904231456996495</c:v>
                </c:pt>
                <c:pt idx="2">
                  <c:v>27.969980326796438</c:v>
                </c:pt>
                <c:pt idx="3">
                  <c:v>30.84232712818406</c:v>
                </c:pt>
                <c:pt idx="4">
                  <c:v>24.806701799253247</c:v>
                </c:pt>
                <c:pt idx="5">
                  <c:v>30.074432175272513</c:v>
                </c:pt>
                <c:pt idx="6">
                  <c:v>42.048286341068305</c:v>
                </c:pt>
                <c:pt idx="7">
                  <c:v>49.390576840691693</c:v>
                </c:pt>
                <c:pt idx="8">
                  <c:v>51.749627876429813</c:v>
                </c:pt>
                <c:pt idx="9">
                  <c:v>23.936952541045386</c:v>
                </c:pt>
                <c:pt idx="10">
                  <c:v>27.434705776320477</c:v>
                </c:pt>
                <c:pt idx="11">
                  <c:v>31.276849348510467</c:v>
                </c:pt>
                <c:pt idx="12">
                  <c:v>35.867796302375453</c:v>
                </c:pt>
                <c:pt idx="13">
                  <c:v>32.142692648776261</c:v>
                </c:pt>
              </c:numCache>
            </c:numRef>
          </c:val>
          <c:smooth val="0"/>
        </c:ser>
        <c:ser>
          <c:idx val="3"/>
          <c:order val="3"/>
          <c:tx>
            <c:strRef>
              <c:f>Лист1!$A$264</c:f>
              <c:strCache>
                <c:ptCount val="1"/>
                <c:pt idx="0">
                  <c:v>Вологодская область</c:v>
                </c:pt>
              </c:strCache>
            </c:strRef>
          </c:tx>
          <c:spPr>
            <a:ln>
              <a:noFill/>
            </a:ln>
          </c:spPr>
          <c:marker>
            <c:symbol val="none"/>
          </c:marker>
          <c:trendline>
            <c:name>Вологодская обл.</c:name>
            <c:spPr>
              <a:ln w="38100" cmpd="dbl">
                <a:solidFill>
                  <a:sysClr val="windowText" lastClr="000000"/>
                </a:solidFill>
                <a:prstDash val="dashDot"/>
              </a:ln>
            </c:spPr>
            <c:trendlineType val="poly"/>
            <c:order val="3"/>
            <c:dispRSqr val="0"/>
            <c:dispEq val="0"/>
          </c:trendline>
          <c:cat>
            <c:numRef>
              <c:f>Лист1!$B$226:$O$226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Лист1!$B$264:$O$264</c:f>
              <c:numCache>
                <c:formatCode>0.0</c:formatCode>
                <c:ptCount val="14"/>
                <c:pt idx="0">
                  <c:v>11.942973170220608</c:v>
                </c:pt>
                <c:pt idx="1">
                  <c:v>16.533206572992402</c:v>
                </c:pt>
                <c:pt idx="2">
                  <c:v>17.188868340767407</c:v>
                </c:pt>
                <c:pt idx="3">
                  <c:v>17.108157917738314</c:v>
                </c:pt>
                <c:pt idx="4">
                  <c:v>28.19946386943499</c:v>
                </c:pt>
                <c:pt idx="5">
                  <c:v>32.582188330847508</c:v>
                </c:pt>
                <c:pt idx="6">
                  <c:v>32.463682137990048</c:v>
                </c:pt>
                <c:pt idx="7">
                  <c:v>31.690093093385574</c:v>
                </c:pt>
                <c:pt idx="8">
                  <c:v>26.011286891432501</c:v>
                </c:pt>
                <c:pt idx="9">
                  <c:v>26.026120937015889</c:v>
                </c:pt>
                <c:pt idx="10">
                  <c:v>26.025415277897824</c:v>
                </c:pt>
                <c:pt idx="11">
                  <c:v>36.210654168984291</c:v>
                </c:pt>
                <c:pt idx="12">
                  <c:v>42.476384870667921</c:v>
                </c:pt>
                <c:pt idx="13">
                  <c:v>21.515277119848548</c:v>
                </c:pt>
              </c:numCache>
            </c:numRef>
          </c:val>
          <c:smooth val="0"/>
        </c:ser>
        <c:ser>
          <c:idx val="4"/>
          <c:order val="4"/>
          <c:tx>
            <c:strRef>
              <c:f>Лист1!$A$265</c:f>
              <c:strCache>
                <c:ptCount val="1"/>
                <c:pt idx="0">
                  <c:v>Калининградская область</c:v>
                </c:pt>
              </c:strCache>
            </c:strRef>
          </c:tx>
          <c:spPr>
            <a:ln>
              <a:noFill/>
            </a:ln>
          </c:spPr>
          <c:marker>
            <c:symbol val="none"/>
          </c:marker>
          <c:trendline>
            <c:name>Калиниградская обл.</c:name>
            <c:spPr>
              <a:ln w="38100">
                <a:solidFill>
                  <a:sysClr val="windowText" lastClr="000000"/>
                </a:solidFill>
              </a:ln>
            </c:spPr>
            <c:trendlineType val="poly"/>
            <c:order val="4"/>
            <c:dispRSqr val="0"/>
            <c:dispEq val="0"/>
          </c:trendline>
          <c:cat>
            <c:numRef>
              <c:f>Лист1!$B$226:$O$226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Лист1!$B$265:$O$265</c:f>
              <c:numCache>
                <c:formatCode>0.0</c:formatCode>
                <c:ptCount val="14"/>
                <c:pt idx="0">
                  <c:v>20.008329647964857</c:v>
                </c:pt>
                <c:pt idx="1">
                  <c:v>20.900975030315028</c:v>
                </c:pt>
                <c:pt idx="2">
                  <c:v>20.146908173667693</c:v>
                </c:pt>
                <c:pt idx="3">
                  <c:v>31.124285411814714</c:v>
                </c:pt>
                <c:pt idx="4">
                  <c:v>31.725670564865609</c:v>
                </c:pt>
                <c:pt idx="5">
                  <c:v>37.280663167052744</c:v>
                </c:pt>
                <c:pt idx="6">
                  <c:v>32.800684902951055</c:v>
                </c:pt>
                <c:pt idx="7">
                  <c:v>32.839543743143246</c:v>
                </c:pt>
                <c:pt idx="8">
                  <c:v>40.505068704896104</c:v>
                </c:pt>
                <c:pt idx="9">
                  <c:v>35.720917089310007</c:v>
                </c:pt>
                <c:pt idx="10">
                  <c:v>29.513443484542186</c:v>
                </c:pt>
                <c:pt idx="11">
                  <c:v>27.315348076054917</c:v>
                </c:pt>
                <c:pt idx="12">
                  <c:v>28.967045672087689</c:v>
                </c:pt>
                <c:pt idx="13">
                  <c:v>25.231952685762227</c:v>
                </c:pt>
              </c:numCache>
            </c:numRef>
          </c:val>
          <c:smooth val="0"/>
        </c:ser>
        <c:ser>
          <c:idx val="5"/>
          <c:order val="5"/>
          <c:tx>
            <c:strRef>
              <c:f>Лист1!$A$266</c:f>
              <c:strCache>
                <c:ptCount val="1"/>
                <c:pt idx="0">
                  <c:v>Ленинградская область</c:v>
                </c:pt>
              </c:strCache>
            </c:strRef>
          </c:tx>
          <c:spPr>
            <a:ln w="6350">
              <a:noFill/>
            </a:ln>
          </c:spPr>
          <c:marker>
            <c:symbol val="none"/>
          </c:marker>
          <c:trendline>
            <c:name>Лениградская обл.</c:name>
            <c:spPr>
              <a:ln w="38100">
                <a:solidFill>
                  <a:schemeClr val="bg1">
                    <a:lumMod val="65000"/>
                  </a:schemeClr>
                </a:solidFill>
              </a:ln>
            </c:spPr>
            <c:trendlineType val="poly"/>
            <c:order val="3"/>
            <c:dispRSqr val="0"/>
            <c:dispEq val="0"/>
          </c:trendline>
          <c:cat>
            <c:numRef>
              <c:f>Лист1!$B$226:$O$226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Лист1!$B$266:$O$266</c:f>
              <c:numCache>
                <c:formatCode>0.0</c:formatCode>
                <c:ptCount val="14"/>
                <c:pt idx="0">
                  <c:v>33.664214964135162</c:v>
                </c:pt>
                <c:pt idx="1">
                  <c:v>45.570179254560458</c:v>
                </c:pt>
                <c:pt idx="2">
                  <c:v>30.917179435760499</c:v>
                </c:pt>
                <c:pt idx="3">
                  <c:v>42.437653798022296</c:v>
                </c:pt>
                <c:pt idx="4">
                  <c:v>42.325272612575048</c:v>
                </c:pt>
                <c:pt idx="5">
                  <c:v>41.035523367356831</c:v>
                </c:pt>
                <c:pt idx="6">
                  <c:v>44.049055192558129</c:v>
                </c:pt>
                <c:pt idx="7">
                  <c:v>40.704161362411121</c:v>
                </c:pt>
                <c:pt idx="8">
                  <c:v>43.335227631495854</c:v>
                </c:pt>
                <c:pt idx="9">
                  <c:v>45.065960404233145</c:v>
                </c:pt>
                <c:pt idx="10">
                  <c:v>57.273379744024254</c:v>
                </c:pt>
                <c:pt idx="11">
                  <c:v>53.10438842588772</c:v>
                </c:pt>
                <c:pt idx="12">
                  <c:v>49.073507414217005</c:v>
                </c:pt>
                <c:pt idx="13">
                  <c:v>35.932448477811377</c:v>
                </c:pt>
              </c:numCache>
            </c:numRef>
          </c:val>
          <c:smooth val="0"/>
        </c:ser>
        <c:ser>
          <c:idx val="6"/>
          <c:order val="6"/>
          <c:tx>
            <c:strRef>
              <c:f>Лист1!$A$267</c:f>
              <c:strCache>
                <c:ptCount val="1"/>
                <c:pt idx="0">
                  <c:v>Мурманская область</c:v>
                </c:pt>
              </c:strCache>
            </c:strRef>
          </c:tx>
          <c:spPr>
            <a:ln>
              <a:noFill/>
            </a:ln>
          </c:spPr>
          <c:marker>
            <c:symbol val="none"/>
          </c:marker>
          <c:trendline>
            <c:name>Мурманская обл.</c:name>
            <c:spPr>
              <a:ln w="38100" cmpd="dbl">
                <a:solidFill>
                  <a:schemeClr val="bg1">
                    <a:lumMod val="50000"/>
                  </a:schemeClr>
                </a:solidFill>
                <a:prstDash val="lgDash"/>
              </a:ln>
            </c:spPr>
            <c:trendlineType val="poly"/>
            <c:order val="4"/>
            <c:dispRSqr val="0"/>
            <c:dispEq val="0"/>
          </c:trendline>
          <c:cat>
            <c:numRef>
              <c:f>Лист1!$B$226:$O$226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Лист1!$B$267:$O$267</c:f>
              <c:numCache>
                <c:formatCode>0.0</c:formatCode>
                <c:ptCount val="14"/>
                <c:pt idx="0">
                  <c:v>12.634805477464401</c:v>
                </c:pt>
                <c:pt idx="1">
                  <c:v>20.052875404078318</c:v>
                </c:pt>
                <c:pt idx="2">
                  <c:v>15.701566504104004</c:v>
                </c:pt>
                <c:pt idx="3">
                  <c:v>18.130839498238931</c:v>
                </c:pt>
                <c:pt idx="4">
                  <c:v>13.441650929808279</c:v>
                </c:pt>
                <c:pt idx="5">
                  <c:v>16.844108009169826</c:v>
                </c:pt>
                <c:pt idx="6">
                  <c:v>17.849323644918289</c:v>
                </c:pt>
                <c:pt idx="7">
                  <c:v>16.053012611660829</c:v>
                </c:pt>
                <c:pt idx="8">
                  <c:v>24.398187462423987</c:v>
                </c:pt>
                <c:pt idx="9">
                  <c:v>23.05786246180363</c:v>
                </c:pt>
                <c:pt idx="10">
                  <c:v>19.692347762091064</c:v>
                </c:pt>
                <c:pt idx="11">
                  <c:v>23.707515625728501</c:v>
                </c:pt>
                <c:pt idx="12">
                  <c:v>29.658491112440583</c:v>
                </c:pt>
                <c:pt idx="13">
                  <c:v>26.318052503209373</c:v>
                </c:pt>
              </c:numCache>
            </c:numRef>
          </c:val>
          <c:smooth val="0"/>
        </c:ser>
        <c:ser>
          <c:idx val="7"/>
          <c:order val="7"/>
          <c:tx>
            <c:strRef>
              <c:f>Лист1!$A$268</c:f>
              <c:strCache>
                <c:ptCount val="1"/>
                <c:pt idx="0">
                  <c:v>Новгородская область</c:v>
                </c:pt>
              </c:strCache>
            </c:strRef>
          </c:tx>
          <c:spPr>
            <a:ln>
              <a:noFill/>
            </a:ln>
          </c:spPr>
          <c:marker>
            <c:symbol val="none"/>
          </c:marker>
          <c:trendline>
            <c:name>Новгородская обл.</c:name>
            <c:spPr>
              <a:ln w="38100" cmpd="dbl">
                <a:solidFill>
                  <a:schemeClr val="tx1"/>
                </a:solidFill>
                <a:prstDash val="sysDash"/>
              </a:ln>
            </c:spPr>
            <c:trendlineType val="poly"/>
            <c:order val="4"/>
            <c:dispRSqr val="0"/>
            <c:dispEq val="0"/>
          </c:trendline>
          <c:cat>
            <c:numRef>
              <c:f>Лист1!$B$226:$O$226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Лист1!$B$268:$O$268</c:f>
              <c:numCache>
                <c:formatCode>0.0</c:formatCode>
                <c:ptCount val="14"/>
                <c:pt idx="0">
                  <c:v>22.063866828837853</c:v>
                </c:pt>
                <c:pt idx="1">
                  <c:v>32.322824624559111</c:v>
                </c:pt>
                <c:pt idx="2">
                  <c:v>16.904483455578578</c:v>
                </c:pt>
                <c:pt idx="3">
                  <c:v>24.045670230057883</c:v>
                </c:pt>
                <c:pt idx="4">
                  <c:v>18.597425384273276</c:v>
                </c:pt>
                <c:pt idx="5">
                  <c:v>22.292371135958199</c:v>
                </c:pt>
                <c:pt idx="6">
                  <c:v>24.763693245670794</c:v>
                </c:pt>
                <c:pt idx="7">
                  <c:v>26.016530336964529</c:v>
                </c:pt>
                <c:pt idx="8">
                  <c:v>26.974942961387427</c:v>
                </c:pt>
                <c:pt idx="9">
                  <c:v>29.572304337723963</c:v>
                </c:pt>
                <c:pt idx="10">
                  <c:v>30.181040721211733</c:v>
                </c:pt>
                <c:pt idx="11">
                  <c:v>24.301246841181257</c:v>
                </c:pt>
                <c:pt idx="12">
                  <c:v>25.669658164996925</c:v>
                </c:pt>
                <c:pt idx="13">
                  <c:v>28.783437990536608</c:v>
                </c:pt>
              </c:numCache>
            </c:numRef>
          </c:val>
          <c:smooth val="0"/>
        </c:ser>
        <c:ser>
          <c:idx val="8"/>
          <c:order val="8"/>
          <c:tx>
            <c:strRef>
              <c:f>Лист1!$A$269</c:f>
              <c:strCache>
                <c:ptCount val="1"/>
                <c:pt idx="0">
                  <c:v>Псковская область</c:v>
                </c:pt>
              </c:strCache>
            </c:strRef>
          </c:tx>
          <c:spPr>
            <a:ln>
              <a:noFill/>
            </a:ln>
          </c:spPr>
          <c:marker>
            <c:symbol val="none"/>
          </c:marker>
          <c:trendline>
            <c:name>Псковская обл.</c:name>
            <c:spPr>
              <a:ln w="38100">
                <a:solidFill>
                  <a:sysClr val="windowText" lastClr="000000"/>
                </a:solidFill>
                <a:prstDash val="dashDot"/>
              </a:ln>
            </c:spPr>
            <c:trendlineType val="poly"/>
            <c:order val="4"/>
            <c:dispRSqr val="0"/>
            <c:dispEq val="0"/>
          </c:trendline>
          <c:cat>
            <c:numRef>
              <c:f>Лист1!$B$226:$O$226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Лист1!$B$269:$O$269</c:f>
              <c:numCache>
                <c:formatCode>0.0</c:formatCode>
                <c:ptCount val="14"/>
                <c:pt idx="0">
                  <c:v>14.554759594286452</c:v>
                </c:pt>
                <c:pt idx="1">
                  <c:v>15.116728210991448</c:v>
                </c:pt>
                <c:pt idx="2">
                  <c:v>13.91930752026027</c:v>
                </c:pt>
                <c:pt idx="3">
                  <c:v>20.106550372349787</c:v>
                </c:pt>
                <c:pt idx="4">
                  <c:v>17.232800982800985</c:v>
                </c:pt>
                <c:pt idx="5">
                  <c:v>13.695916260296823</c:v>
                </c:pt>
                <c:pt idx="6">
                  <c:v>15.03218698569316</c:v>
                </c:pt>
                <c:pt idx="7">
                  <c:v>21.819664435308201</c:v>
                </c:pt>
                <c:pt idx="8">
                  <c:v>21.497423693288503</c:v>
                </c:pt>
                <c:pt idx="9">
                  <c:v>17.574087761116395</c:v>
                </c:pt>
                <c:pt idx="10">
                  <c:v>20.164358073185859</c:v>
                </c:pt>
                <c:pt idx="11">
                  <c:v>25.468240819514605</c:v>
                </c:pt>
                <c:pt idx="12">
                  <c:v>31.777679629930962</c:v>
                </c:pt>
                <c:pt idx="13">
                  <c:v>25.271933932330526</c:v>
                </c:pt>
              </c:numCache>
            </c:numRef>
          </c:val>
          <c:smooth val="0"/>
        </c:ser>
        <c:ser>
          <c:idx val="9"/>
          <c:order val="9"/>
          <c:tx>
            <c:strRef>
              <c:f>Лист1!$A$270</c:f>
              <c:strCache>
                <c:ptCount val="1"/>
                <c:pt idx="0">
                  <c:v>г. Санкт-Петербург</c:v>
                </c:pt>
              </c:strCache>
            </c:strRef>
          </c:tx>
          <c:spPr>
            <a:ln>
              <a:noFill/>
            </a:ln>
          </c:spPr>
          <c:marker>
            <c:symbol val="none"/>
          </c:marker>
          <c:trendline>
            <c:name>Санкт-Петербург</c:name>
            <c:spPr>
              <a:ln w="38100" cmpd="dbl">
                <a:solidFill>
                  <a:sysClr val="windowText" lastClr="000000"/>
                </a:solidFill>
              </a:ln>
            </c:spPr>
            <c:trendlineType val="poly"/>
            <c:order val="4"/>
            <c:dispRSqr val="0"/>
            <c:dispEq val="0"/>
          </c:trendline>
          <c:cat>
            <c:numRef>
              <c:f>Лист1!$B$226:$O$226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Лист1!$B$270:$O$270</c:f>
              <c:numCache>
                <c:formatCode>0.0</c:formatCode>
                <c:ptCount val="14"/>
                <c:pt idx="0">
                  <c:v>20.485542623098748</c:v>
                </c:pt>
                <c:pt idx="1">
                  <c:v>23.435552885226624</c:v>
                </c:pt>
                <c:pt idx="2">
                  <c:v>25.447537707277526</c:v>
                </c:pt>
                <c:pt idx="3">
                  <c:v>30.473942268610006</c:v>
                </c:pt>
                <c:pt idx="4">
                  <c:v>24.695699824028029</c:v>
                </c:pt>
                <c:pt idx="5">
                  <c:v>25.21121176579339</c:v>
                </c:pt>
                <c:pt idx="6">
                  <c:v>24.771122320226226</c:v>
                </c:pt>
                <c:pt idx="7">
                  <c:v>28.632666532876083</c:v>
                </c:pt>
                <c:pt idx="8">
                  <c:v>27.738491099142671</c:v>
                </c:pt>
                <c:pt idx="9">
                  <c:v>24.300901850628385</c:v>
                </c:pt>
                <c:pt idx="10">
                  <c:v>25.00819070985213</c:v>
                </c:pt>
                <c:pt idx="11">
                  <c:v>18.918738688291288</c:v>
                </c:pt>
                <c:pt idx="12">
                  <c:v>17.854585064369555</c:v>
                </c:pt>
                <c:pt idx="13">
                  <c:v>20.992260877224396</c:v>
                </c:pt>
              </c:numCache>
            </c:numRef>
          </c:val>
          <c:smooth val="0"/>
        </c:ser>
        <c:dLbls>
          <c:showLegendKey val="0"/>
          <c:showVal val="0"/>
          <c:showCatName val="0"/>
          <c:showSerName val="0"/>
          <c:showPercent val="0"/>
          <c:showBubbleSize val="0"/>
        </c:dLbls>
        <c:marker val="1"/>
        <c:smooth val="0"/>
        <c:axId val="94726784"/>
        <c:axId val="94728576"/>
      </c:lineChart>
      <c:catAx>
        <c:axId val="94726784"/>
        <c:scaling>
          <c:orientation val="minMax"/>
        </c:scaling>
        <c:delete val="0"/>
        <c:axPos val="b"/>
        <c:minorGridlines/>
        <c:numFmt formatCode="General" sourceLinked="1"/>
        <c:majorTickMark val="out"/>
        <c:minorTickMark val="none"/>
        <c:tickLblPos val="nextTo"/>
        <c:txPr>
          <a:bodyPr/>
          <a:lstStyle/>
          <a:p>
            <a:pPr>
              <a:defRPr sz="1000"/>
            </a:pPr>
            <a:endParaRPr lang="ru-RU"/>
          </a:p>
        </c:txPr>
        <c:crossAx val="94728576"/>
        <c:crosses val="autoZero"/>
        <c:auto val="1"/>
        <c:lblAlgn val="ctr"/>
        <c:lblOffset val="100"/>
        <c:tickMarkSkip val="2"/>
        <c:noMultiLvlLbl val="0"/>
      </c:catAx>
      <c:valAx>
        <c:axId val="94728576"/>
        <c:scaling>
          <c:orientation val="minMax"/>
          <c:max val="50"/>
          <c:min val="10"/>
        </c:scaling>
        <c:delete val="0"/>
        <c:axPos val="l"/>
        <c:majorGridlines/>
        <c:numFmt formatCode="0" sourceLinked="0"/>
        <c:majorTickMark val="out"/>
        <c:minorTickMark val="none"/>
        <c:tickLblPos val="nextTo"/>
        <c:txPr>
          <a:bodyPr/>
          <a:lstStyle/>
          <a:p>
            <a:pPr>
              <a:defRPr sz="1000"/>
            </a:pPr>
            <a:endParaRPr lang="ru-RU"/>
          </a:p>
        </c:txPr>
        <c:crossAx val="94726784"/>
        <c:crosses val="autoZero"/>
        <c:crossBetween val="between"/>
      </c:valAx>
    </c:plotArea>
    <c:legend>
      <c:legendPos val="b"/>
      <c:legendEntry>
        <c:idx val="0"/>
        <c:delete val="1"/>
      </c:legendEntry>
      <c:legendEntry>
        <c:idx val="1"/>
        <c:delete val="1"/>
      </c:legendEntry>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ayout>
        <c:manualLayout>
          <c:xMode val="edge"/>
          <c:yMode val="edge"/>
          <c:x val="9.3850794277904145E-2"/>
          <c:y val="0.71180859386101503"/>
          <c:w val="0.84784757605881989"/>
          <c:h val="0.25978839184081387"/>
        </c:manualLayout>
      </c:layout>
      <c:overlay val="0"/>
      <c:txPr>
        <a:bodyPr/>
        <a:lstStyle/>
        <a:p>
          <a:pPr>
            <a:defRPr sz="1000"/>
          </a:pPr>
          <a:endParaRPr lang="ru-RU"/>
        </a:p>
      </c:txPr>
    </c:legend>
    <c:plotVisOnly val="1"/>
    <c:dispBlanksAs val="gap"/>
    <c:showDLblsOverMax val="0"/>
  </c:chart>
  <c:txPr>
    <a:bodyPr/>
    <a:lstStyle/>
    <a:p>
      <a:pPr>
        <a:defRPr sz="1200" baseline="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ubbleChart>
        <c:varyColors val="0"/>
        <c:ser>
          <c:idx val="4"/>
          <c:order val="0"/>
          <c:tx>
            <c:strRef>
              <c:f>Лист3!$E$204</c:f>
              <c:strCache>
                <c:ptCount val="1"/>
                <c:pt idx="0">
                  <c:v>100 % (2007 г.)</c:v>
                </c:pt>
              </c:strCache>
            </c:strRef>
          </c:tx>
          <c:spPr>
            <a:ln w="25400">
              <a:noFill/>
            </a:ln>
          </c:spPr>
          <c:invertIfNegative val="0"/>
          <c:xVal>
            <c:numRef>
              <c:f>Лист3!$D$194</c:f>
              <c:numCache>
                <c:formatCode>General</c:formatCode>
                <c:ptCount val="1"/>
                <c:pt idx="0">
                  <c:v>2007</c:v>
                </c:pt>
              </c:numCache>
            </c:numRef>
          </c:xVal>
          <c:yVal>
            <c:numRef>
              <c:f>Лист3!$D$197</c:f>
              <c:numCache>
                <c:formatCode>General</c:formatCode>
                <c:ptCount val="1"/>
                <c:pt idx="0">
                  <c:v>100</c:v>
                </c:pt>
              </c:numCache>
            </c:numRef>
          </c:yVal>
          <c:bubbleSize>
            <c:numRef>
              <c:f>Лист3!$D$198</c:f>
              <c:numCache>
                <c:formatCode>General</c:formatCode>
                <c:ptCount val="1"/>
                <c:pt idx="0">
                  <c:v>100</c:v>
                </c:pt>
              </c:numCache>
            </c:numRef>
          </c:bubbleSize>
          <c:bubble3D val="1"/>
        </c:ser>
        <c:ser>
          <c:idx val="0"/>
          <c:order val="1"/>
          <c:tx>
            <c:strRef>
              <c:f>Лист3!$A$225</c:f>
              <c:strCache>
                <c:ptCount val="1"/>
                <c:pt idx="0">
                  <c:v>г. Санкт-Петербург</c:v>
                </c:pt>
              </c:strCache>
            </c:strRef>
          </c:tx>
          <c:spPr>
            <a:solidFill>
              <a:schemeClr val="bg1">
                <a:lumMod val="75000"/>
              </a:schemeClr>
            </a:solidFill>
            <a:ln>
              <a:solidFill>
                <a:sysClr val="windowText" lastClr="000000"/>
              </a:solidFill>
            </a:ln>
          </c:spPr>
          <c:invertIfNegative val="0"/>
          <c:xVal>
            <c:numRef>
              <c:f>Лист3!$D$230:$J$230</c:f>
              <c:numCache>
                <c:formatCode>General</c:formatCode>
                <c:ptCount val="7"/>
                <c:pt idx="0">
                  <c:v>2007</c:v>
                </c:pt>
                <c:pt idx="1">
                  <c:v>2008</c:v>
                </c:pt>
                <c:pt idx="2">
                  <c:v>2009</c:v>
                </c:pt>
                <c:pt idx="3">
                  <c:v>2010</c:v>
                </c:pt>
                <c:pt idx="4">
                  <c:v>2011</c:v>
                </c:pt>
                <c:pt idx="5">
                  <c:v>2012</c:v>
                </c:pt>
                <c:pt idx="6">
                  <c:v>2013</c:v>
                </c:pt>
              </c:numCache>
            </c:numRef>
          </c:xVal>
          <c:yVal>
            <c:numRef>
              <c:f>Лист3!$D$228:$J$228</c:f>
              <c:numCache>
                <c:formatCode>General</c:formatCode>
                <c:ptCount val="7"/>
                <c:pt idx="0">
                  <c:v>100</c:v>
                </c:pt>
                <c:pt idx="1">
                  <c:v>94.485938663272421</c:v>
                </c:pt>
                <c:pt idx="2">
                  <c:v>97.949038161339132</c:v>
                </c:pt>
                <c:pt idx="3">
                  <c:v>76.956699248301376</c:v>
                </c:pt>
                <c:pt idx="4">
                  <c:v>75.097864982348938</c:v>
                </c:pt>
                <c:pt idx="5">
                  <c:v>70.830231273565559</c:v>
                </c:pt>
                <c:pt idx="6">
                  <c:v>71.161651336486756</c:v>
                </c:pt>
              </c:numCache>
            </c:numRef>
          </c:yVal>
          <c:bubbleSize>
            <c:numRef>
              <c:f>Лист3!$D$229:$J$229</c:f>
              <c:numCache>
                <c:formatCode>General</c:formatCode>
                <c:ptCount val="7"/>
                <c:pt idx="0">
                  <c:v>100</c:v>
                </c:pt>
                <c:pt idx="1">
                  <c:v>300.67141403865719</c:v>
                </c:pt>
                <c:pt idx="2">
                  <c:v>301.81078331637872</c:v>
                </c:pt>
                <c:pt idx="3">
                  <c:v>355.7070193285839</c:v>
                </c:pt>
                <c:pt idx="4">
                  <c:v>491.84130213631772</c:v>
                </c:pt>
                <c:pt idx="5">
                  <c:v>577.86368260427241</c:v>
                </c:pt>
                <c:pt idx="6">
                  <c:v>554.83214649033118</c:v>
                </c:pt>
              </c:numCache>
            </c:numRef>
          </c:bubbleSize>
          <c:bubble3D val="1"/>
        </c:ser>
        <c:ser>
          <c:idx val="1"/>
          <c:order val="2"/>
          <c:tx>
            <c:strRef>
              <c:f>Лист3!$A$194</c:f>
              <c:strCache>
                <c:ptCount val="1"/>
                <c:pt idx="0">
                  <c:v>Республика Карелия </c:v>
                </c:pt>
              </c:strCache>
            </c:strRef>
          </c:tx>
          <c:spPr>
            <a:solidFill>
              <a:schemeClr val="tx1"/>
            </a:solidFill>
            <a:ln>
              <a:solidFill>
                <a:schemeClr val="tx1"/>
              </a:solidFill>
            </a:ln>
          </c:spPr>
          <c:invertIfNegative val="0"/>
          <c:xVal>
            <c:numRef>
              <c:f>Лист3!$D$194:$J$194</c:f>
              <c:numCache>
                <c:formatCode>General</c:formatCode>
                <c:ptCount val="7"/>
                <c:pt idx="0">
                  <c:v>2007</c:v>
                </c:pt>
                <c:pt idx="1">
                  <c:v>2008</c:v>
                </c:pt>
                <c:pt idx="2">
                  <c:v>2009</c:v>
                </c:pt>
                <c:pt idx="3">
                  <c:v>2010</c:v>
                </c:pt>
                <c:pt idx="4">
                  <c:v>2011</c:v>
                </c:pt>
                <c:pt idx="5">
                  <c:v>2012</c:v>
                </c:pt>
                <c:pt idx="6">
                  <c:v>2013</c:v>
                </c:pt>
              </c:numCache>
            </c:numRef>
          </c:xVal>
          <c:yVal>
            <c:numRef>
              <c:f>Лист3!$D$197:$J$197</c:f>
              <c:numCache>
                <c:formatCode>General</c:formatCode>
                <c:ptCount val="7"/>
                <c:pt idx="0">
                  <c:v>100</c:v>
                </c:pt>
                <c:pt idx="1">
                  <c:v>104.51348182883935</c:v>
                </c:pt>
                <c:pt idx="2">
                  <c:v>107.67878077373885</c:v>
                </c:pt>
                <c:pt idx="3">
                  <c:v>100.5861664712784</c:v>
                </c:pt>
                <c:pt idx="4">
                  <c:v>103.45838218053861</c:v>
                </c:pt>
                <c:pt idx="5">
                  <c:v>107.9718640093792</c:v>
                </c:pt>
                <c:pt idx="6">
                  <c:v>102.52051582649406</c:v>
                </c:pt>
              </c:numCache>
            </c:numRef>
          </c:yVal>
          <c:bubbleSize>
            <c:numRef>
              <c:f>Лист3!$D$198:$J$198</c:f>
              <c:numCache>
                <c:formatCode>General</c:formatCode>
                <c:ptCount val="7"/>
                <c:pt idx="0">
                  <c:v>100</c:v>
                </c:pt>
                <c:pt idx="1">
                  <c:v>98.024691358024242</c:v>
                </c:pt>
                <c:pt idx="2">
                  <c:v>86.666666666666671</c:v>
                </c:pt>
                <c:pt idx="3">
                  <c:v>103.45679012345605</c:v>
                </c:pt>
                <c:pt idx="4">
                  <c:v>113.08641975308635</c:v>
                </c:pt>
                <c:pt idx="5">
                  <c:v>107.90123456790161</c:v>
                </c:pt>
                <c:pt idx="6">
                  <c:v>96.296296296296291</c:v>
                </c:pt>
              </c:numCache>
            </c:numRef>
          </c:bubbleSize>
          <c:bubble3D val="1"/>
        </c:ser>
        <c:ser>
          <c:idx val="2"/>
          <c:order val="3"/>
          <c:tx>
            <c:strRef>
              <c:f>Лист3!$A$180</c:f>
              <c:strCache>
                <c:ptCount val="1"/>
                <c:pt idx="0">
                  <c:v>СЗФО</c:v>
                </c:pt>
              </c:strCache>
            </c:strRef>
          </c:tx>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a:solidFill>
                <a:schemeClr val="tx1"/>
              </a:solidFill>
            </a:ln>
          </c:spPr>
          <c:invertIfNegative val="0"/>
          <c:xVal>
            <c:numRef>
              <c:f>Лист3!$D$194:$J$194</c:f>
              <c:numCache>
                <c:formatCode>General</c:formatCode>
                <c:ptCount val="7"/>
                <c:pt idx="0">
                  <c:v>2007</c:v>
                </c:pt>
                <c:pt idx="1">
                  <c:v>2008</c:v>
                </c:pt>
                <c:pt idx="2">
                  <c:v>2009</c:v>
                </c:pt>
                <c:pt idx="3">
                  <c:v>2010</c:v>
                </c:pt>
                <c:pt idx="4">
                  <c:v>2011</c:v>
                </c:pt>
                <c:pt idx="5">
                  <c:v>2012</c:v>
                </c:pt>
                <c:pt idx="6">
                  <c:v>2013</c:v>
                </c:pt>
              </c:numCache>
            </c:numRef>
          </c:xVal>
          <c:yVal>
            <c:numRef>
              <c:f>Лист3!$D$189:$J$189</c:f>
              <c:numCache>
                <c:formatCode>General</c:formatCode>
                <c:ptCount val="7"/>
                <c:pt idx="0">
                  <c:v>100</c:v>
                </c:pt>
                <c:pt idx="1">
                  <c:v>96.083499606989548</c:v>
                </c:pt>
                <c:pt idx="2">
                  <c:v>99.183747505894559</c:v>
                </c:pt>
                <c:pt idx="3">
                  <c:v>82.589636616481528</c:v>
                </c:pt>
                <c:pt idx="4">
                  <c:v>80.910272688796226</c:v>
                </c:pt>
                <c:pt idx="5">
                  <c:v>77.770723743878122</c:v>
                </c:pt>
                <c:pt idx="6">
                  <c:v>78.209081564786189</c:v>
                </c:pt>
              </c:numCache>
            </c:numRef>
          </c:yVal>
          <c:bubbleSize>
            <c:numRef>
              <c:f>Лист3!$D$190:$J$190</c:f>
              <c:numCache>
                <c:formatCode>General</c:formatCode>
                <c:ptCount val="7"/>
                <c:pt idx="0">
                  <c:v>100</c:v>
                </c:pt>
                <c:pt idx="1">
                  <c:v>180.34498122334526</c:v>
                </c:pt>
                <c:pt idx="2">
                  <c:v>159.79886703583477</c:v>
                </c:pt>
                <c:pt idx="3">
                  <c:v>192.27292979441083</c:v>
                </c:pt>
                <c:pt idx="4">
                  <c:v>255.88441219527721</c:v>
                </c:pt>
                <c:pt idx="5">
                  <c:v>288.39666475717428</c:v>
                </c:pt>
                <c:pt idx="6">
                  <c:v>291.96104640060889</c:v>
                </c:pt>
              </c:numCache>
            </c:numRef>
          </c:bubbleSize>
          <c:bubble3D val="1"/>
        </c:ser>
        <c:ser>
          <c:idx val="3"/>
          <c:order val="4"/>
          <c:tx>
            <c:strRef>
              <c:f>Лист3!$A$214</c:f>
              <c:strCache>
                <c:ptCount val="1"/>
                <c:pt idx="0">
                  <c:v>Мурманская область</c:v>
                </c:pt>
              </c:strCache>
            </c:strRef>
          </c:tx>
          <c:spPr>
            <a:solidFill>
              <a:schemeClr val="bg1"/>
            </a:solidFill>
            <a:ln>
              <a:solidFill>
                <a:sysClr val="windowText" lastClr="000000"/>
              </a:solidFill>
            </a:ln>
          </c:spPr>
          <c:invertIfNegative val="0"/>
          <c:dPt>
            <c:idx val="0"/>
            <c:invertIfNegative val="0"/>
            <c:bubble3D val="1"/>
            <c:spPr>
              <a:solidFill>
                <a:schemeClr val="tx1"/>
              </a:solidFill>
              <a:ln>
                <a:solidFill>
                  <a:sysClr val="windowText" lastClr="000000"/>
                </a:solidFill>
              </a:ln>
            </c:spPr>
          </c:dPt>
          <c:xVal>
            <c:numRef>
              <c:f>Лист3!$D$219:$J$219</c:f>
              <c:numCache>
                <c:formatCode>General</c:formatCode>
                <c:ptCount val="7"/>
                <c:pt idx="0">
                  <c:v>2007</c:v>
                </c:pt>
                <c:pt idx="1">
                  <c:v>2008</c:v>
                </c:pt>
                <c:pt idx="2">
                  <c:v>2009</c:v>
                </c:pt>
                <c:pt idx="3">
                  <c:v>2010</c:v>
                </c:pt>
                <c:pt idx="4">
                  <c:v>2011</c:v>
                </c:pt>
                <c:pt idx="5">
                  <c:v>2012</c:v>
                </c:pt>
                <c:pt idx="6">
                  <c:v>2013</c:v>
                </c:pt>
              </c:numCache>
            </c:numRef>
          </c:xVal>
          <c:yVal>
            <c:numRef>
              <c:f>Лист3!$D$217:$J$217</c:f>
              <c:numCache>
                <c:formatCode>General</c:formatCode>
                <c:ptCount val="7"/>
                <c:pt idx="0">
                  <c:v>100</c:v>
                </c:pt>
                <c:pt idx="1">
                  <c:v>99.427753934191699</c:v>
                </c:pt>
                <c:pt idx="2">
                  <c:v>99.237005245588932</c:v>
                </c:pt>
                <c:pt idx="3">
                  <c:v>82.11731044349068</c:v>
                </c:pt>
                <c:pt idx="4">
                  <c:v>72.722937529804071</c:v>
                </c:pt>
                <c:pt idx="5">
                  <c:v>71.816881258941351</c:v>
                </c:pt>
                <c:pt idx="6">
                  <c:v>72.007629947544558</c:v>
                </c:pt>
              </c:numCache>
            </c:numRef>
          </c:yVal>
          <c:bubbleSize>
            <c:numRef>
              <c:f>Лист3!$D$218:$J$218</c:f>
              <c:numCache>
                <c:formatCode>General</c:formatCode>
                <c:ptCount val="7"/>
                <c:pt idx="0">
                  <c:v>100</c:v>
                </c:pt>
                <c:pt idx="1">
                  <c:v>68.256578947368411</c:v>
                </c:pt>
                <c:pt idx="2">
                  <c:v>64.638157894736196</c:v>
                </c:pt>
                <c:pt idx="3">
                  <c:v>81.25</c:v>
                </c:pt>
                <c:pt idx="4">
                  <c:v>82.565789473683566</c:v>
                </c:pt>
                <c:pt idx="5">
                  <c:v>86.677631578947384</c:v>
                </c:pt>
                <c:pt idx="6">
                  <c:v>77.30263157894737</c:v>
                </c:pt>
              </c:numCache>
            </c:numRef>
          </c:bubbleSize>
          <c:bubble3D val="1"/>
        </c:ser>
        <c:dLbls>
          <c:showLegendKey val="0"/>
          <c:showVal val="0"/>
          <c:showCatName val="0"/>
          <c:showSerName val="0"/>
          <c:showPercent val="0"/>
          <c:showBubbleSize val="0"/>
        </c:dLbls>
        <c:bubbleScale val="100"/>
        <c:showNegBubbles val="0"/>
        <c:axId val="95117312"/>
        <c:axId val="95118848"/>
      </c:bubbleChart>
      <c:valAx>
        <c:axId val="95117312"/>
        <c:scaling>
          <c:orientation val="minMax"/>
          <c:max val="2013"/>
          <c:min val="2008"/>
        </c:scaling>
        <c:delete val="0"/>
        <c:axPos val="b"/>
        <c:minorGridlines/>
        <c:numFmt formatCode="General" sourceLinked="1"/>
        <c:majorTickMark val="out"/>
        <c:minorTickMark val="none"/>
        <c:tickLblPos val="nextTo"/>
        <c:txPr>
          <a:bodyPr/>
          <a:lstStyle/>
          <a:p>
            <a:pPr>
              <a:defRPr sz="1000" baseline="0"/>
            </a:pPr>
            <a:endParaRPr lang="ru-RU"/>
          </a:p>
        </c:txPr>
        <c:crossAx val="95118848"/>
        <c:crosses val="autoZero"/>
        <c:crossBetween val="midCat"/>
        <c:minorUnit val="1"/>
      </c:valAx>
      <c:valAx>
        <c:axId val="95118848"/>
        <c:scaling>
          <c:orientation val="minMax"/>
          <c:max val="110"/>
          <c:min val="60"/>
        </c:scaling>
        <c:delete val="0"/>
        <c:axPos val="l"/>
        <c:majorGridlines/>
        <c:numFmt formatCode="General" sourceLinked="1"/>
        <c:majorTickMark val="out"/>
        <c:minorTickMark val="none"/>
        <c:tickLblPos val="nextTo"/>
        <c:txPr>
          <a:bodyPr/>
          <a:lstStyle/>
          <a:p>
            <a:pPr>
              <a:defRPr sz="1000" baseline="0"/>
            </a:pPr>
            <a:endParaRPr lang="ru-RU"/>
          </a:p>
        </c:txPr>
        <c:crossAx val="95117312"/>
        <c:crosses val="autoZero"/>
        <c:crossBetween val="midCat"/>
      </c:valAx>
    </c:plotArea>
    <c:legend>
      <c:legendPos val="b"/>
      <c:legendEntry>
        <c:idx val="0"/>
        <c:delete val="1"/>
      </c:legendEntry>
      <c:layout>
        <c:manualLayout>
          <c:xMode val="edge"/>
          <c:yMode val="edge"/>
          <c:x val="6.4194712909386831E-2"/>
          <c:y val="0.75858810752104266"/>
          <c:w val="0.90784755010465168"/>
          <c:h val="0.21382568558240608"/>
        </c:manualLayout>
      </c:layout>
      <c:overlay val="0"/>
      <c:txPr>
        <a:bodyPr/>
        <a:lstStyle/>
        <a:p>
          <a:pPr>
            <a:defRPr sz="1400" baseline="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8595D-C469-4D2E-9C18-6A1B3838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3110</Words>
  <Characters>17730</Characters>
  <Application>Microsoft Office Word</Application>
  <DocSecurity>4</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IE</Company>
  <LinksUpToDate>false</LinksUpToDate>
  <CharactersWithSpaces>20799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tolstoguzov</dc:creator>
  <cp:lastModifiedBy>Екатерина Г. Леонидова</cp:lastModifiedBy>
  <cp:revision>2</cp:revision>
  <cp:lastPrinted>2017-04-21T06:53:00Z</cp:lastPrinted>
  <dcterms:created xsi:type="dcterms:W3CDTF">2017-04-28T05:46:00Z</dcterms:created>
  <dcterms:modified xsi:type="dcterms:W3CDTF">2017-04-28T05:46:00Z</dcterms:modified>
</cp:coreProperties>
</file>