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C" w:rsidRPr="00745847" w:rsidRDefault="001C4218" w:rsidP="001B1ABC">
      <w:pPr>
        <w:rPr>
          <w:b/>
        </w:rPr>
      </w:pPr>
      <w:bookmarkStart w:id="0" w:name="_GoBack"/>
      <w:bookmarkEnd w:id="0"/>
      <w:r w:rsidRPr="003F41A2">
        <w:rPr>
          <w:b/>
        </w:rPr>
        <w:t>У</w:t>
      </w:r>
      <w:r w:rsidRPr="00745847">
        <w:rPr>
          <w:b/>
        </w:rPr>
        <w:t xml:space="preserve">ДК </w:t>
      </w:r>
      <w:r w:rsidR="003F41A2" w:rsidRPr="00745847">
        <w:rPr>
          <w:b/>
        </w:rPr>
        <w:t>338.45:661</w:t>
      </w:r>
      <w:r w:rsidRPr="00745847">
        <w:rPr>
          <w:b/>
        </w:rPr>
        <w:t xml:space="preserve"> / ББК </w:t>
      </w:r>
      <w:r w:rsidR="001B1ABC" w:rsidRPr="00745847">
        <w:rPr>
          <w:b/>
        </w:rPr>
        <w:t>65.305.3</w:t>
      </w:r>
    </w:p>
    <w:p w:rsidR="00AE2B4F" w:rsidRPr="00745847" w:rsidRDefault="00AE2B4F" w:rsidP="003E63A8">
      <w:pPr>
        <w:jc w:val="right"/>
        <w:rPr>
          <w:b/>
        </w:rPr>
      </w:pPr>
      <w:r w:rsidRPr="00745847">
        <w:rPr>
          <w:b/>
        </w:rPr>
        <w:t>Копытова Е.Д.</w:t>
      </w:r>
    </w:p>
    <w:p w:rsidR="00AE2B4F" w:rsidRPr="00745847" w:rsidRDefault="00227588" w:rsidP="003E63A8">
      <w:pPr>
        <w:jc w:val="center"/>
        <w:rPr>
          <w:b/>
        </w:rPr>
      </w:pPr>
      <w:r w:rsidRPr="00745847">
        <w:rPr>
          <w:b/>
        </w:rPr>
        <w:t>СОВРЕМЕННОЕ СОСТОЯНИЕ</w:t>
      </w:r>
      <w:r w:rsidR="000E13C6" w:rsidRPr="00745847">
        <w:rPr>
          <w:b/>
        </w:rPr>
        <w:t>, ПРОБЛЕМЫ И ПЕРСПЕКТИВЫ РАЗВИТИЯ ХИМИЧЕСКОГО КОМПЛЕКСА РОССИИ</w:t>
      </w:r>
    </w:p>
    <w:p w:rsidR="007C596E" w:rsidRPr="00745847" w:rsidRDefault="007C596E" w:rsidP="003E63A8">
      <w:pPr>
        <w:ind w:firstLine="709"/>
        <w:jc w:val="both"/>
      </w:pPr>
    </w:p>
    <w:p w:rsidR="00A516C4" w:rsidRPr="00745847" w:rsidRDefault="003E63A8" w:rsidP="003E63A8">
      <w:pPr>
        <w:ind w:firstLine="709"/>
        <w:jc w:val="both"/>
        <w:rPr>
          <w:i/>
        </w:rPr>
      </w:pPr>
      <w:r w:rsidRPr="00745847">
        <w:rPr>
          <w:b/>
        </w:rPr>
        <w:t>Аннотация:</w:t>
      </w:r>
      <w:r w:rsidR="00AE2B4F" w:rsidRPr="00745847">
        <w:rPr>
          <w:b/>
        </w:rPr>
        <w:t xml:space="preserve"> </w:t>
      </w:r>
      <w:r w:rsidRPr="00745847">
        <w:rPr>
          <w:i/>
        </w:rPr>
        <w:t xml:space="preserve">В работе проведен анализ </w:t>
      </w:r>
      <w:r w:rsidR="00A516C4" w:rsidRPr="00745847">
        <w:rPr>
          <w:i/>
        </w:rPr>
        <w:t>одной из базовых</w:t>
      </w:r>
      <w:r w:rsidR="00A516C4" w:rsidRPr="00745847">
        <w:t xml:space="preserve"> </w:t>
      </w:r>
      <w:r w:rsidR="00A516C4" w:rsidRPr="00745847">
        <w:rPr>
          <w:i/>
        </w:rPr>
        <w:t>отраслей химической промышленности – минеральных удобрений.</w:t>
      </w:r>
      <w:r w:rsidRPr="00745847">
        <w:rPr>
          <w:i/>
        </w:rPr>
        <w:t xml:space="preserve"> </w:t>
      </w:r>
      <w:r w:rsidR="00A516C4" w:rsidRPr="00745847">
        <w:rPr>
          <w:i/>
        </w:rPr>
        <w:t xml:space="preserve">Представлен прогноз основных показателей развития данной сферы. Сделан вывод о том, что </w:t>
      </w:r>
      <w:r w:rsidR="00E706EB" w:rsidRPr="00745847">
        <w:rPr>
          <w:i/>
        </w:rPr>
        <w:t xml:space="preserve">необходимо </w:t>
      </w:r>
      <w:r w:rsidR="00A516C4" w:rsidRPr="00745847">
        <w:rPr>
          <w:i/>
        </w:rPr>
        <w:t xml:space="preserve">стимулировать внутренний спрос за счет поддержки </w:t>
      </w:r>
      <w:proofErr w:type="spellStart"/>
      <w:r w:rsidR="00A516C4" w:rsidRPr="00745847">
        <w:rPr>
          <w:i/>
        </w:rPr>
        <w:t>сельхозтоваропроизводителей</w:t>
      </w:r>
      <w:proofErr w:type="spellEnd"/>
      <w:r w:rsidR="00A516C4" w:rsidRPr="00745847">
        <w:rPr>
          <w:i/>
        </w:rPr>
        <w:t>.</w:t>
      </w:r>
    </w:p>
    <w:p w:rsidR="003E63A8" w:rsidRPr="00745847" w:rsidRDefault="003E63A8" w:rsidP="003E63A8">
      <w:pPr>
        <w:ind w:firstLine="709"/>
        <w:jc w:val="both"/>
        <w:rPr>
          <w:i/>
        </w:rPr>
      </w:pPr>
      <w:r w:rsidRPr="00745847">
        <w:rPr>
          <w:b/>
        </w:rPr>
        <w:t xml:space="preserve">Ключевые слова: </w:t>
      </w:r>
      <w:r w:rsidR="00A516C4" w:rsidRPr="00745847">
        <w:rPr>
          <w:i/>
        </w:rPr>
        <w:t xml:space="preserve">химическая отрасль, минеральные удобрения, </w:t>
      </w:r>
      <w:r w:rsidRPr="00745847">
        <w:rPr>
          <w:i/>
        </w:rPr>
        <w:t>регион, развитие территорий, органы власти.</w:t>
      </w:r>
    </w:p>
    <w:p w:rsidR="00BA62DF" w:rsidRPr="00745847" w:rsidRDefault="00BA62DF" w:rsidP="003E63A8">
      <w:pPr>
        <w:ind w:firstLine="709"/>
        <w:contextualSpacing/>
        <w:jc w:val="both"/>
      </w:pPr>
    </w:p>
    <w:p w:rsidR="00AF0B68" w:rsidRPr="00745847" w:rsidRDefault="00AF0B68" w:rsidP="00AF0B68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Химическая промышленность, представляющая собой одну из ведущих отраслей тяжелой индустрии, является научно-технической и материальной базой химизации народного хозяйства и играет исключительно важную роль в развитии производительных сил, в обеспечении жизненных потребностей общества, укреплении обороноспособности государства. Она объединяет целый комплекс отраслей производства, в которых преобладают химические методы переработки предметов овеществленного труда (сырья, материалов), позволяет решить технические, технологические и экономические проблемы, создавать новые материалы с заранее заданными свойствами, заменять металл в строительстве, машиностроении, повышать производительность и экономить затраты общественного труда. Химическая промышленность включает производство нескольких тысяч различных видов продукции, по количеству которых уступает только машиностроению.</w:t>
      </w:r>
    </w:p>
    <w:p w:rsidR="00AF0B68" w:rsidRPr="00745847" w:rsidRDefault="00AF0B68" w:rsidP="00AF0B68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Наибольший вклад в оборот химической промышленности вносит производство минеральных удобрений. Россия обладает уникальной сырьевой базой, позволяющей выпускать весь их спектр. Российские предприятия входят в число ключевых игроков мирового рынка по всем сегментам рынка: азотному, фосфорному и калийному</w:t>
      </w:r>
      <w:r w:rsidR="00745847" w:rsidRPr="00745847">
        <w:rPr>
          <w:lang w:eastAsia="ar-SA"/>
        </w:rPr>
        <w:t xml:space="preserve"> [5</w:t>
      </w:r>
      <w:r w:rsidR="00B659E3">
        <w:rPr>
          <w:lang w:eastAsia="ar-SA"/>
        </w:rPr>
        <w:t>, с. 57</w:t>
      </w:r>
      <w:r w:rsidR="00745847" w:rsidRPr="00745847">
        <w:rPr>
          <w:lang w:eastAsia="ar-SA"/>
        </w:rPr>
        <w:t>]</w:t>
      </w:r>
      <w:r w:rsidRPr="00745847">
        <w:rPr>
          <w:lang w:eastAsia="ar-SA"/>
        </w:rPr>
        <w:t>.</w:t>
      </w:r>
    </w:p>
    <w:p w:rsidR="00F218CD" w:rsidRPr="00745847" w:rsidRDefault="00F218CD" w:rsidP="006B7357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В развитии отечественной отрасли минеральных удобрений можно выделить ряд особенностей.</w:t>
      </w:r>
    </w:p>
    <w:p w:rsidR="00F218CD" w:rsidRPr="00745847" w:rsidRDefault="00F218CD" w:rsidP="006B7357">
      <w:pPr>
        <w:widowControl w:val="0"/>
        <w:ind w:right="-2" w:firstLine="709"/>
        <w:contextualSpacing/>
        <w:jc w:val="both"/>
        <w:rPr>
          <w:i/>
          <w:lang w:eastAsia="ar-SA"/>
        </w:rPr>
      </w:pPr>
      <w:r w:rsidRPr="00745847">
        <w:rPr>
          <w:i/>
          <w:lang w:eastAsia="ar-SA"/>
        </w:rPr>
        <w:t>1. В советский период оборот минеральных удобрений полностью находился под государственным контролем.</w:t>
      </w:r>
    </w:p>
    <w:p w:rsidR="00F218CD" w:rsidRPr="00745847" w:rsidRDefault="00F218CD" w:rsidP="006B7357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После окончания Второй мировой войны мировое производство минеральных удобрений росло значительными темпами – в 3,2 раза (с 47 млн. тонн в 1965 году до 150 млн. тонн в 1990 году). Значительную долю удобрений в конце 80-х гг. выпускали в СССР – почти 40 млн. тонн. Так, с 1962 года данная отрасль страны по объемам производства стала занимать первое место в Европе; в 1973 году Советский Союз вышел на первое место в мире, опередив США. Доля СССР в мировом производстве возросла с 11,1% в среднем за 1961–1966 гг. до 19,3% в 1975 году. Причем если за этот период мировое производство увеличилось в 2,3 раза, то в СССР – в 3,8 раза. В 1975 году страна вышла на 1-е место по абсолютным размерам потребления минеральных удобрений. В расчете на 1 гектар пашни оно увеличилось в 2,8 раза ‒ с 28,4 кг в 1965 году до 78,7 кг в 1976 году (в пересчет</w:t>
      </w:r>
      <w:r w:rsidR="003D204B" w:rsidRPr="00745847">
        <w:rPr>
          <w:lang w:eastAsia="ar-SA"/>
        </w:rPr>
        <w:t>е на 100% питательных веществ)</w:t>
      </w:r>
      <w:r w:rsidR="00745847" w:rsidRPr="00745847">
        <w:rPr>
          <w:lang w:eastAsia="ar-SA"/>
        </w:rPr>
        <w:t xml:space="preserve"> [1]</w:t>
      </w:r>
      <w:r w:rsidRPr="00745847">
        <w:rPr>
          <w:lang w:eastAsia="ar-SA"/>
        </w:rPr>
        <w:t>.</w:t>
      </w:r>
    </w:p>
    <w:p w:rsidR="00F218CD" w:rsidRPr="00745847" w:rsidRDefault="003D204B" w:rsidP="006B7357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В</w:t>
      </w:r>
      <w:r w:rsidR="00F218CD" w:rsidRPr="00745847">
        <w:rPr>
          <w:lang w:eastAsia="ar-SA"/>
        </w:rPr>
        <w:t xml:space="preserve"> СССР обеспечение минеральными удобрениями сельскохозяйственных товаропроизводителей полностью находилось под государственным контролем. Решения по производству, распределению и использованию удобрений принимали централизованно и </w:t>
      </w:r>
      <w:proofErr w:type="spellStart"/>
      <w:r w:rsidR="00F218CD" w:rsidRPr="00745847">
        <w:rPr>
          <w:lang w:eastAsia="ar-SA"/>
        </w:rPr>
        <w:t>планово</w:t>
      </w:r>
      <w:proofErr w:type="spellEnd"/>
      <w:r w:rsidR="00F218CD" w:rsidRPr="00745847">
        <w:rPr>
          <w:lang w:eastAsia="ar-SA"/>
        </w:rPr>
        <w:t xml:space="preserve">, согласно государственным нормативам. Планирование поставки удобрений осуществлялось с учетом почвенно-климатических условий, народно-хозяйственной значимости выращиваемых культур и экономической эффективности удобрений, исходя из потребности страны в различных видах сельскохозяйственной продукции и достигнутого уровня развития промышленности по производству удобрений. </w:t>
      </w:r>
    </w:p>
    <w:p w:rsidR="00F218CD" w:rsidRPr="00745847" w:rsidRDefault="00F218CD" w:rsidP="006B7357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i/>
          <w:lang w:eastAsia="ar-SA"/>
        </w:rPr>
        <w:t>2. После развала СССР произошло сокращение производства минеральных удобрений.</w:t>
      </w:r>
    </w:p>
    <w:p w:rsidR="00F218CD" w:rsidRPr="00745847" w:rsidRDefault="00F218CD" w:rsidP="006B7357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lastRenderedPageBreak/>
        <w:t>В результате рыночных реформ прекратилось субсидирование агропредприятий (в 1990 году по причине госдотаций цены минеральных удобрений для агропредприятий снизились на 40%). Производство минеральных удобрений по сравнению с уровнем 1985 года упало в 2 раза (30,0 млн. т в 1985 году против 14,9 млн. т  в 1995 году) [</w:t>
      </w:r>
      <w:r w:rsidR="00745847" w:rsidRPr="00745847">
        <w:rPr>
          <w:lang w:eastAsia="ar-SA"/>
        </w:rPr>
        <w:t>6</w:t>
      </w:r>
      <w:r w:rsidRPr="00745847">
        <w:rPr>
          <w:lang w:eastAsia="ar-SA"/>
        </w:rPr>
        <w:t>], за 1996 год снижение производства составило 5%.</w:t>
      </w:r>
    </w:p>
    <w:p w:rsidR="00F218CD" w:rsidRPr="00745847" w:rsidRDefault="00F218CD" w:rsidP="006B7357">
      <w:pPr>
        <w:widowControl w:val="0"/>
        <w:ind w:firstLine="709"/>
        <w:contextualSpacing/>
        <w:jc w:val="both"/>
        <w:rPr>
          <w:lang w:eastAsia="ar-SA" w:bidi="ru-RU"/>
        </w:rPr>
      </w:pPr>
      <w:r w:rsidRPr="00745847">
        <w:rPr>
          <w:lang w:eastAsia="ar-SA"/>
        </w:rPr>
        <w:t>Это свидетельствует о катастрофическом разрушении отрасли, обусловленном множеством факторов, в частности, таких как: сокращение дотаций; спад в сельскохозяйственном производстве; изменение схемы субсидирования сельхозпроизводителей</w:t>
      </w:r>
      <w:r w:rsidRPr="00745847">
        <w:rPr>
          <w:lang w:eastAsia="ar-SA" w:bidi="ru-RU"/>
        </w:rPr>
        <w:t>; низкая доля закупок удобрений в сельскохозяйственном производстве по сравнению с промышленным</w:t>
      </w:r>
      <w:r w:rsidR="00745847" w:rsidRPr="00745847">
        <w:rPr>
          <w:lang w:eastAsia="ar-SA" w:bidi="ru-RU"/>
        </w:rPr>
        <w:t xml:space="preserve"> </w:t>
      </w:r>
      <w:r w:rsidR="00745847" w:rsidRPr="00745847">
        <w:rPr>
          <w:lang w:eastAsia="ar-SA"/>
        </w:rPr>
        <w:t>[9</w:t>
      </w:r>
      <w:r w:rsidR="00B659E3">
        <w:rPr>
          <w:lang w:eastAsia="ar-SA"/>
        </w:rPr>
        <w:t>, с. 98</w:t>
      </w:r>
      <w:r w:rsidR="00745847" w:rsidRPr="00745847">
        <w:rPr>
          <w:lang w:eastAsia="ar-SA"/>
        </w:rPr>
        <w:t>]</w:t>
      </w:r>
      <w:r w:rsidRPr="00745847">
        <w:rPr>
          <w:lang w:eastAsia="ar-SA" w:bidi="ru-RU"/>
        </w:rPr>
        <w:t xml:space="preserve">. Потребности внутреннего рынка в удобрениях незначительны, поскольку в России на один гектар обрабатываемой земли используется всего лишь 40 кг действующего вещества (по данным за 2014 год), тогда как аналогичный показатель в Европе и США составляет 130–140 кг, в странах Латинской Америки – 90 кг/га. </w:t>
      </w:r>
    </w:p>
    <w:p w:rsidR="00F218CD" w:rsidRPr="00745847" w:rsidRDefault="00F218CD" w:rsidP="006B7357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i/>
          <w:lang w:eastAsia="ar-SA"/>
        </w:rPr>
        <w:t>3. Сокращение платежеспособного спроса, уменьшение объемов потребления удобрений на внутреннем рынке в постсоветский период привело к переориентации многих производителей на экспортные рынки</w:t>
      </w:r>
      <w:r w:rsidRPr="00745847">
        <w:rPr>
          <w:lang w:eastAsia="ar-SA"/>
        </w:rPr>
        <w:t xml:space="preserve">. В 1996‒2000 гг. доля экспорта удобрений в их суммарном объеме составляла 70–85%, в настоящее время ситуация осталась прежней (в 2012–2014 гг. доля экспорта в производстве превышает 71%; табл. 1). </w:t>
      </w:r>
    </w:p>
    <w:p w:rsidR="00F218CD" w:rsidRPr="00745847" w:rsidRDefault="00F218CD" w:rsidP="006B7357">
      <w:pPr>
        <w:contextualSpacing/>
        <w:jc w:val="center"/>
        <w:rPr>
          <w:lang w:eastAsia="ar-SA"/>
        </w:rPr>
      </w:pPr>
      <w:r w:rsidRPr="00745847">
        <w:rPr>
          <w:rFonts w:eastAsia="Arial Unicode MS"/>
        </w:rPr>
        <w:t xml:space="preserve">Таблица 1. </w:t>
      </w:r>
      <w:r w:rsidRPr="00745847">
        <w:rPr>
          <w:lang w:eastAsia="ar-SA"/>
        </w:rPr>
        <w:t>Основные показатели российского рынка минеральных удобрений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1313"/>
        <w:gridCol w:w="1167"/>
        <w:gridCol w:w="1460"/>
        <w:gridCol w:w="1279"/>
      </w:tblGrid>
      <w:tr w:rsidR="00F218CD" w:rsidRPr="00745847" w:rsidTr="006366DD">
        <w:tc>
          <w:tcPr>
            <w:tcW w:w="235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lef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Показатель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2012 г.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2013 г.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2014 г.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2015 г.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Продажи на внутреннем рынке, тыс. 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3804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5403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5408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5406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Экспорт, тыс. 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13971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1077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pacing w:val="2"/>
                <w:sz w:val="18"/>
                <w:szCs w:val="18"/>
              </w:rPr>
              <w:t>13678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14273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Доля экспорта в производстве, 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pacing w:val="2"/>
                <w:sz w:val="18"/>
                <w:szCs w:val="18"/>
              </w:rPr>
              <w:t>72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73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Доля импорта в потреблении, 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Экспорт РФ всего, млрд. долл. США</w:t>
            </w:r>
          </w:p>
        </w:tc>
        <w:tc>
          <w:tcPr>
            <w:tcW w:w="666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525</w:t>
            </w:r>
          </w:p>
        </w:tc>
        <w:tc>
          <w:tcPr>
            <w:tcW w:w="592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526</w:t>
            </w:r>
          </w:p>
        </w:tc>
        <w:tc>
          <w:tcPr>
            <w:tcW w:w="741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498</w:t>
            </w:r>
          </w:p>
        </w:tc>
        <w:tc>
          <w:tcPr>
            <w:tcW w:w="648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343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Экспорт минеральных удобрений, млрд. долл. США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32,1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30,8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29,2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25,3</w:t>
            </w:r>
          </w:p>
        </w:tc>
      </w:tr>
      <w:tr w:rsidR="00F218CD" w:rsidRPr="00745847" w:rsidTr="006366DD">
        <w:tc>
          <w:tcPr>
            <w:tcW w:w="2352" w:type="pct"/>
            <w:shd w:val="clear" w:color="auto" w:fill="auto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Доля экспорта минеральных удобрений в общем объеме экспорта РФ, %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6,1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5,9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7,4</w:t>
            </w:r>
          </w:p>
        </w:tc>
      </w:tr>
      <w:tr w:rsidR="00F218CD" w:rsidRPr="00745847" w:rsidTr="006366DD">
        <w:tc>
          <w:tcPr>
            <w:tcW w:w="5000" w:type="pct"/>
            <w:gridSpan w:val="5"/>
            <w:shd w:val="clear" w:color="auto" w:fill="auto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Источник: данные Росстата.</w:t>
            </w:r>
          </w:p>
        </w:tc>
      </w:tr>
    </w:tbl>
    <w:p w:rsidR="00F218CD" w:rsidRPr="00745847" w:rsidRDefault="00F218CD" w:rsidP="006B7357">
      <w:pPr>
        <w:widowControl w:val="0"/>
        <w:ind w:firstLine="567"/>
        <w:contextualSpacing/>
        <w:jc w:val="both"/>
        <w:rPr>
          <w:lang w:eastAsia="ar-SA"/>
        </w:rPr>
      </w:pPr>
    </w:p>
    <w:p w:rsidR="00F218CD" w:rsidRPr="00745847" w:rsidRDefault="00F218CD" w:rsidP="00D60B9C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Удобрения являются одной из заметных статей российского экспорта – их доля в общем объеме экспорта РФ составляет 6-8%. На мировом рынке удобрений Россия занимает второе место после Китая. Таким образом, данный сегмент является одним из наиболее </w:t>
      </w:r>
      <w:proofErr w:type="spellStart"/>
      <w:r w:rsidRPr="00745847">
        <w:rPr>
          <w:lang w:eastAsia="ar-SA"/>
        </w:rPr>
        <w:t>экспортоориентированных</w:t>
      </w:r>
      <w:proofErr w:type="spellEnd"/>
      <w:r w:rsidRPr="00745847">
        <w:rPr>
          <w:lang w:eastAsia="ar-SA"/>
        </w:rPr>
        <w:t xml:space="preserve"> в промышленности России. </w:t>
      </w:r>
    </w:p>
    <w:p w:rsidR="00F218CD" w:rsidRPr="00745847" w:rsidRDefault="00F218CD" w:rsidP="00D60B9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Стоит отметить, что товарная  номенклатура  экспорта  химического  комплекса  России  представлена главным  образом  продукцией  низкой  и  средней  степени  технологического  передела, которая  используется  для  дальнейшего передела  в  продукцию с  высокой  добавленной стоимостью.  Перечислим основные  продукты,  имеющие  экспортный  потенциал:  минеральные удобрения – 35%;  синтетический  каучук – 9%;  аммиак – 5% (24%  объема производства);  метанол – 2% (53% соответственно).</w:t>
      </w:r>
    </w:p>
    <w:p w:rsidR="00F218CD" w:rsidRPr="00745847" w:rsidRDefault="00F218CD" w:rsidP="00D60B9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Номенклатура  российского  импорта  химической продукции, в отличие  от экспорта, многообразна, традиционно в ней превалируют товары с высокой добавленной стоимостью. Сравнение товарной структуры российского экспорта и импорта показывает, что из страны вывозится преимущественно химическая продукция низких переделов, а ввозится продукция высоких переделов: фармацевтическая – 36%, изделия из пластмасс – 23% (рис. 1).</w:t>
      </w:r>
    </w:p>
    <w:p w:rsidR="00F218CD" w:rsidRPr="00745847" w:rsidRDefault="00F218CD" w:rsidP="00D60B9C">
      <w:pPr>
        <w:widowControl w:val="0"/>
        <w:ind w:left="709" w:right="-2" w:firstLine="709"/>
        <w:contextualSpacing/>
        <w:jc w:val="both"/>
        <w:rPr>
          <w:i/>
          <w:lang w:eastAsia="ar-SA"/>
        </w:rPr>
      </w:pPr>
    </w:p>
    <w:p w:rsidR="00F218CD" w:rsidRPr="00745847" w:rsidRDefault="00F218CD" w:rsidP="006B7357">
      <w:pPr>
        <w:widowControl w:val="0"/>
        <w:ind w:left="709" w:right="-2" w:firstLine="284"/>
        <w:contextualSpacing/>
        <w:jc w:val="both"/>
        <w:rPr>
          <w:i/>
          <w:lang w:eastAsia="ar-SA"/>
        </w:rPr>
      </w:pPr>
      <w:r w:rsidRPr="00745847">
        <w:rPr>
          <w:i/>
          <w:noProof/>
        </w:rPr>
        <w:lastRenderedPageBreak/>
        <w:drawing>
          <wp:inline distT="0" distB="0" distL="0" distR="0" wp14:anchorId="15672144" wp14:editId="3073F69C">
            <wp:extent cx="4981575" cy="2419350"/>
            <wp:effectExtent l="0" t="0" r="9525" b="0"/>
            <wp:docPr id="11" name="Рисунок 11" descr="Копытова_рис_1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пытова_рис_1_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D" w:rsidRPr="00745847" w:rsidRDefault="00F218CD" w:rsidP="006B7357">
      <w:pPr>
        <w:widowControl w:val="0"/>
        <w:contextualSpacing/>
        <w:jc w:val="center"/>
        <w:rPr>
          <w:lang w:eastAsia="ar-SA"/>
        </w:rPr>
      </w:pPr>
      <w:r w:rsidRPr="00745847">
        <w:rPr>
          <w:lang w:eastAsia="ar-SA"/>
        </w:rPr>
        <w:t xml:space="preserve">Рисунок 1. Сальдо внешнеторгового баланса по отдельным продуктам </w:t>
      </w:r>
      <w:r w:rsidRPr="00745847">
        <w:rPr>
          <w:lang w:eastAsia="ar-SA"/>
        </w:rPr>
        <w:br/>
        <w:t>химической промышленности в 2014 году, млн. долл. США [</w:t>
      </w:r>
      <w:r w:rsidR="00745847" w:rsidRPr="00745847">
        <w:rPr>
          <w:lang w:eastAsia="ar-SA"/>
        </w:rPr>
        <w:t>3</w:t>
      </w:r>
      <w:r w:rsidR="00B659E3">
        <w:rPr>
          <w:lang w:eastAsia="ar-SA"/>
        </w:rPr>
        <w:t>, с. 33</w:t>
      </w:r>
      <w:r w:rsidRPr="00745847">
        <w:rPr>
          <w:lang w:eastAsia="ar-SA"/>
        </w:rPr>
        <w:t>]</w:t>
      </w:r>
    </w:p>
    <w:p w:rsidR="00F218CD" w:rsidRPr="00745847" w:rsidRDefault="00F218CD" w:rsidP="006B7357">
      <w:pPr>
        <w:widowControl w:val="0"/>
        <w:ind w:right="-2"/>
        <w:contextualSpacing/>
        <w:rPr>
          <w:lang w:eastAsia="ar-SA"/>
        </w:rPr>
      </w:pPr>
    </w:p>
    <w:p w:rsidR="00F218CD" w:rsidRPr="00745847" w:rsidRDefault="00F218CD" w:rsidP="00D60B9C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Удельный вес продукции химической промышленности в целом в товарной структуре импорта в 2014 году составил 16,8% (в 2013 году – 16,6%). Вместе с тем стоимостный и физический объемы импорта продукции снизились по сравнению с уровнем 2013 года на 7,3 и 5,5% соответственно. Что касается импортных минеральных удобрений, то доля их потребления в общем объеме не превышает 1%. Это свидетельствует о том, что для </w:t>
      </w:r>
      <w:proofErr w:type="spellStart"/>
      <w:r w:rsidRPr="00745847">
        <w:rPr>
          <w:lang w:eastAsia="ar-SA"/>
        </w:rPr>
        <w:t>экспортоориентированной</w:t>
      </w:r>
      <w:proofErr w:type="spellEnd"/>
      <w:r w:rsidRPr="00745847">
        <w:rPr>
          <w:lang w:eastAsia="ar-SA"/>
        </w:rPr>
        <w:t xml:space="preserve"> промышленности минеральных удобрений традиционно положительное сальдо торгового баланса.</w:t>
      </w:r>
    </w:p>
    <w:p w:rsidR="00F218CD" w:rsidRPr="00745847" w:rsidRDefault="00F218CD" w:rsidP="00D60B9C">
      <w:pPr>
        <w:widowControl w:val="0"/>
        <w:ind w:firstLine="709"/>
        <w:contextualSpacing/>
        <w:jc w:val="both"/>
      </w:pPr>
      <w:r w:rsidRPr="00745847">
        <w:rPr>
          <w:i/>
        </w:rPr>
        <w:t>4. В условиях роста мирового спроса на продукцию растениеводства и животноводства создаются предпосылки для повышения уровня потребления минеральных удобрений.</w:t>
      </w:r>
      <w:r w:rsidRPr="00745847">
        <w:t xml:space="preserve"> </w:t>
      </w:r>
    </w:p>
    <w:p w:rsidR="00F218CD" w:rsidRPr="00745847" w:rsidRDefault="00F218CD" w:rsidP="00D60B9C">
      <w:pPr>
        <w:widowControl w:val="0"/>
        <w:ind w:firstLine="709"/>
        <w:contextualSpacing/>
        <w:jc w:val="both"/>
      </w:pPr>
      <w:r w:rsidRPr="00745847">
        <w:t>В результате этих процессов в мире наблюдается ежегодное увеличение мощностей по производству удобрений. В настоящее время российская отрасль минеральных удобрений – одна из лидирующих в мире. По объемам выпуска азотных и калийных удобрений (7,0 и 18,5% от мирового объема в 2014 году) она занимает второе место, а по объемам производства фосфорных удобрений (6,5% от мирового объема) – четвёртое. За 2009–2015 гг. масштабы производства минеральных удобрений увеличились на 36,3% (рис. </w:t>
      </w:r>
      <w:r w:rsidR="00642A89" w:rsidRPr="00745847">
        <w:t>2</w:t>
      </w:r>
      <w:r w:rsidRPr="00745847">
        <w:t xml:space="preserve">). </w:t>
      </w:r>
    </w:p>
    <w:p w:rsidR="00F218CD" w:rsidRPr="00745847" w:rsidRDefault="00F218CD" w:rsidP="006B7357">
      <w:pPr>
        <w:widowControl w:val="0"/>
        <w:ind w:firstLine="567"/>
        <w:contextualSpacing/>
        <w:jc w:val="both"/>
      </w:pPr>
      <w:r w:rsidRPr="00745847">
        <w:rPr>
          <w:noProof/>
        </w:rPr>
        <w:drawing>
          <wp:inline distT="0" distB="0" distL="0" distR="0" wp14:anchorId="33E8CE73" wp14:editId="0544CFBF">
            <wp:extent cx="5534025" cy="184785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18CD" w:rsidRPr="00745847" w:rsidRDefault="00F218CD" w:rsidP="006B7357">
      <w:pPr>
        <w:widowControl w:val="0"/>
        <w:contextualSpacing/>
        <w:jc w:val="center"/>
        <w:rPr>
          <w:lang w:eastAsia="ar-SA"/>
        </w:rPr>
      </w:pPr>
      <w:r w:rsidRPr="00745847">
        <w:rPr>
          <w:lang w:eastAsia="ar-SA"/>
        </w:rPr>
        <w:t xml:space="preserve">Рисунок </w:t>
      </w:r>
      <w:r w:rsidR="00642A89" w:rsidRPr="00745847">
        <w:rPr>
          <w:lang w:eastAsia="ar-SA"/>
        </w:rPr>
        <w:t>2</w:t>
      </w:r>
      <w:r w:rsidRPr="00745847">
        <w:rPr>
          <w:lang w:eastAsia="ar-SA"/>
        </w:rPr>
        <w:t>. Объемы производства минеральных удобрений в России*, млн. т (</w:t>
      </w:r>
      <w:proofErr w:type="spellStart"/>
      <w:r w:rsidRPr="00745847">
        <w:rPr>
          <w:lang w:eastAsia="ar-SA"/>
        </w:rPr>
        <w:t>усл</w:t>
      </w:r>
      <w:proofErr w:type="spellEnd"/>
      <w:r w:rsidRPr="00745847">
        <w:rPr>
          <w:lang w:eastAsia="ar-SA"/>
        </w:rPr>
        <w:t>. ед.)</w:t>
      </w:r>
    </w:p>
    <w:p w:rsidR="00F218CD" w:rsidRPr="00745847" w:rsidRDefault="00F218CD" w:rsidP="006B7357">
      <w:pPr>
        <w:widowControl w:val="0"/>
        <w:ind w:right="-2"/>
        <w:contextualSpacing/>
        <w:jc w:val="both"/>
      </w:pPr>
      <w:r w:rsidRPr="00745847">
        <w:t>* Составлено по: Россия в цифрах. 2015. – С. 259; Ежемесячный краткий доклад Росстата о социально-экономическом положении России. – Режим доступа: http://www.gks.ru/bgd/free/B15_00/Main.htm</w:t>
      </w:r>
    </w:p>
    <w:p w:rsidR="00F218CD" w:rsidRPr="00745847" w:rsidRDefault="00F218CD" w:rsidP="006B7357">
      <w:pPr>
        <w:widowControl w:val="0"/>
        <w:ind w:right="-2" w:firstLine="567"/>
        <w:contextualSpacing/>
        <w:jc w:val="both"/>
      </w:pPr>
    </w:p>
    <w:p w:rsidR="00F218CD" w:rsidRPr="00745847" w:rsidRDefault="00F218CD" w:rsidP="00D60B9C">
      <w:pPr>
        <w:widowControl w:val="0"/>
        <w:ind w:right="-2" w:firstLine="709"/>
        <w:contextualSpacing/>
        <w:jc w:val="both"/>
      </w:pPr>
      <w:r w:rsidRPr="00745847">
        <w:t xml:space="preserve">В условиях санкций и </w:t>
      </w:r>
      <w:proofErr w:type="spellStart"/>
      <w:r w:rsidRPr="00745847">
        <w:t>контрсанкций</w:t>
      </w:r>
      <w:proofErr w:type="spellEnd"/>
      <w:r w:rsidRPr="00745847">
        <w:t xml:space="preserve"> актуализируются вопросы импортозамещения. В частности, развитие агропромышленного комплекса РФ возможно за счёт интенсификации производства. Успехи в данной отрасли зависят от того, какую роль будут играть производители минеральных удобрений, предоставляя материально-технические ресурсы. </w:t>
      </w:r>
    </w:p>
    <w:p w:rsidR="00F218CD" w:rsidRPr="00745847" w:rsidRDefault="00F218CD" w:rsidP="00D60B9C">
      <w:pPr>
        <w:tabs>
          <w:tab w:val="left" w:pos="851"/>
        </w:tabs>
        <w:ind w:firstLine="709"/>
        <w:contextualSpacing/>
        <w:jc w:val="both"/>
        <w:rPr>
          <w:lang w:eastAsia="ar-SA"/>
        </w:rPr>
      </w:pPr>
      <w:r w:rsidRPr="00745847">
        <w:rPr>
          <w:i/>
        </w:rPr>
        <w:lastRenderedPageBreak/>
        <w:t xml:space="preserve">5. Избыток предложения минеральных удобрений и геополитические факторы спровоцировали падение мировых цен на данную продукцию </w:t>
      </w:r>
      <w:r w:rsidRPr="00745847">
        <w:rPr>
          <w:lang w:eastAsia="ar-SA"/>
        </w:rPr>
        <w:t xml:space="preserve"> </w:t>
      </w:r>
      <w:r w:rsidRPr="00745847">
        <w:rPr>
          <w:i/>
          <w:lang w:eastAsia="ar-SA"/>
        </w:rPr>
        <w:t>(рис. </w:t>
      </w:r>
      <w:r w:rsidR="00642A89" w:rsidRPr="00745847">
        <w:rPr>
          <w:i/>
          <w:lang w:eastAsia="ar-SA"/>
        </w:rPr>
        <w:t>3</w:t>
      </w:r>
      <w:r w:rsidRPr="00745847">
        <w:rPr>
          <w:i/>
          <w:lang w:eastAsia="ar-SA"/>
        </w:rPr>
        <w:t>).</w:t>
      </w:r>
      <w:r w:rsidRPr="00745847">
        <w:rPr>
          <w:lang w:eastAsia="ar-SA"/>
        </w:rPr>
        <w:t xml:space="preserve"> </w:t>
      </w:r>
    </w:p>
    <w:p w:rsidR="00F218CD" w:rsidRPr="00745847" w:rsidRDefault="00F218CD" w:rsidP="006B7357">
      <w:pPr>
        <w:tabs>
          <w:tab w:val="left" w:pos="851"/>
        </w:tabs>
        <w:ind w:firstLine="709"/>
        <w:contextualSpacing/>
        <w:jc w:val="both"/>
        <w:rPr>
          <w:lang w:eastAsia="ar-SA"/>
        </w:rPr>
      </w:pPr>
      <w:r w:rsidRPr="00745847">
        <w:rPr>
          <w:noProof/>
        </w:rPr>
        <w:drawing>
          <wp:inline distT="0" distB="0" distL="0" distR="0" wp14:anchorId="54F7C2BD" wp14:editId="3FF6A560">
            <wp:extent cx="4991100" cy="2657475"/>
            <wp:effectExtent l="0" t="0" r="0" b="9525"/>
            <wp:docPr id="8" name="Рисунок 8" descr="Копытова_рис_4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ытова_рис_4_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D" w:rsidRPr="00745847" w:rsidRDefault="00F218CD" w:rsidP="006B7357">
      <w:pPr>
        <w:widowControl w:val="0"/>
        <w:contextualSpacing/>
        <w:jc w:val="center"/>
        <w:rPr>
          <w:lang w:eastAsia="ar-SA"/>
        </w:rPr>
      </w:pPr>
      <w:r w:rsidRPr="00745847">
        <w:rPr>
          <w:lang w:eastAsia="ar-SA"/>
        </w:rPr>
        <w:t xml:space="preserve">Рисунок </w:t>
      </w:r>
      <w:r w:rsidR="00642A89" w:rsidRPr="00745847">
        <w:rPr>
          <w:lang w:eastAsia="ar-SA"/>
        </w:rPr>
        <w:t>3</w:t>
      </w:r>
      <w:r w:rsidRPr="00745847">
        <w:rPr>
          <w:lang w:eastAsia="ar-SA"/>
        </w:rPr>
        <w:t>. Мировые цены на удобрения, долл./т</w:t>
      </w:r>
    </w:p>
    <w:p w:rsidR="00F218CD" w:rsidRPr="00745847" w:rsidRDefault="00F218CD" w:rsidP="006B7357">
      <w:pPr>
        <w:widowControl w:val="0"/>
        <w:ind w:right="-2"/>
        <w:contextualSpacing/>
        <w:rPr>
          <w:lang w:eastAsia="ar-SA"/>
        </w:rPr>
      </w:pPr>
      <w:r w:rsidRPr="00745847">
        <w:rPr>
          <w:lang w:eastAsia="ar-SA"/>
        </w:rPr>
        <w:t>Источник: расчеты Газпромбанка</w:t>
      </w:r>
      <w:r w:rsidR="00745847" w:rsidRPr="00745847">
        <w:rPr>
          <w:lang w:eastAsia="ar-SA"/>
        </w:rPr>
        <w:t>;</w:t>
      </w:r>
      <w:r w:rsidRPr="00745847">
        <w:rPr>
          <w:lang w:eastAsia="ar-SA"/>
        </w:rPr>
        <w:t xml:space="preserve"> [</w:t>
      </w:r>
      <w:r w:rsidR="00745847" w:rsidRPr="00745847">
        <w:rPr>
          <w:lang w:eastAsia="ar-SA"/>
        </w:rPr>
        <w:t>8</w:t>
      </w:r>
      <w:r w:rsidRPr="00745847">
        <w:rPr>
          <w:lang w:eastAsia="ar-SA"/>
        </w:rPr>
        <w:t>].</w:t>
      </w:r>
    </w:p>
    <w:p w:rsidR="00F218CD" w:rsidRPr="00745847" w:rsidRDefault="00F218CD" w:rsidP="006B7357">
      <w:pPr>
        <w:tabs>
          <w:tab w:val="left" w:pos="851"/>
        </w:tabs>
        <w:ind w:firstLine="709"/>
        <w:contextualSpacing/>
        <w:jc w:val="both"/>
        <w:rPr>
          <w:rFonts w:eastAsia="Arial Unicode MS"/>
          <w:bCs/>
        </w:rPr>
      </w:pPr>
    </w:p>
    <w:p w:rsidR="00F218CD" w:rsidRPr="00745847" w:rsidRDefault="00F218CD" w:rsidP="006B7357">
      <w:pPr>
        <w:tabs>
          <w:tab w:val="left" w:pos="851"/>
        </w:tabs>
        <w:ind w:firstLine="709"/>
        <w:contextualSpacing/>
        <w:jc w:val="both"/>
        <w:rPr>
          <w:rFonts w:eastAsia="Arial Unicode MS"/>
          <w:bCs/>
        </w:rPr>
      </w:pPr>
      <w:r w:rsidRPr="00745847">
        <w:rPr>
          <w:rFonts w:eastAsia="Arial Unicode MS"/>
          <w:bCs/>
        </w:rPr>
        <w:t xml:space="preserve">Ценовая динамика на внутреннем рынке была обратной – цены на азотные удобрения повысились на 6,4%, фосфорные – на 9,2%. Зафиксировано снижение цен на калийные удобрения (22,9%; табл. 2). </w:t>
      </w:r>
    </w:p>
    <w:p w:rsidR="00F218CD" w:rsidRPr="00745847" w:rsidRDefault="00F218CD" w:rsidP="006B7357">
      <w:pPr>
        <w:contextualSpacing/>
        <w:jc w:val="center"/>
        <w:rPr>
          <w:lang w:eastAsia="ar-SA"/>
        </w:rPr>
      </w:pPr>
      <w:r w:rsidRPr="00745847">
        <w:rPr>
          <w:rFonts w:eastAsia="Arial Unicode MS"/>
        </w:rPr>
        <w:t xml:space="preserve">Таблица 2. </w:t>
      </w:r>
      <w:r w:rsidRPr="00745847">
        <w:rPr>
          <w:lang w:eastAsia="ar-SA"/>
        </w:rPr>
        <w:t>Средние цены производителей России на отдельные виды промышленных товаров</w:t>
      </w:r>
      <w:r w:rsidRPr="00745847">
        <w:rPr>
          <w:rFonts w:eastAsia="Arial Unicode MS"/>
          <w:lang w:eastAsia="ar-SA"/>
        </w:rPr>
        <w:t xml:space="preserve"> </w:t>
      </w:r>
      <w:r w:rsidRPr="00745847">
        <w:rPr>
          <w:rFonts w:eastAsia="Arial Unicode MS"/>
        </w:rPr>
        <w:t>по виду экономической деятельности «химическое производство», руб./тонну</w:t>
      </w:r>
    </w:p>
    <w:tbl>
      <w:tblPr>
        <w:tblW w:w="4895" w:type="pct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945"/>
        <w:gridCol w:w="945"/>
        <w:gridCol w:w="945"/>
        <w:gridCol w:w="939"/>
        <w:gridCol w:w="938"/>
        <w:gridCol w:w="934"/>
      </w:tblGrid>
      <w:tr w:rsidR="00F218CD" w:rsidRPr="00745847" w:rsidTr="00F218CD">
        <w:trPr>
          <w:jc w:val="center"/>
        </w:trPr>
        <w:tc>
          <w:tcPr>
            <w:tcW w:w="20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Вид удобрения, физ. ед.</w:t>
            </w:r>
          </w:p>
        </w:tc>
        <w:tc>
          <w:tcPr>
            <w:tcW w:w="4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2010 г.</w:t>
            </w:r>
          </w:p>
        </w:tc>
        <w:tc>
          <w:tcPr>
            <w:tcW w:w="4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2011 г.</w:t>
            </w:r>
          </w:p>
        </w:tc>
        <w:tc>
          <w:tcPr>
            <w:tcW w:w="4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2012 г.</w:t>
            </w:r>
          </w:p>
        </w:tc>
        <w:tc>
          <w:tcPr>
            <w:tcW w:w="49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2013 г.</w:t>
            </w:r>
          </w:p>
        </w:tc>
        <w:tc>
          <w:tcPr>
            <w:tcW w:w="981" w:type="pct"/>
            <w:gridSpan w:val="2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2013 г., в % к</w:t>
            </w:r>
          </w:p>
        </w:tc>
      </w:tr>
      <w:tr w:rsidR="00F218CD" w:rsidRPr="00745847" w:rsidTr="00F218CD">
        <w:trPr>
          <w:jc w:val="center"/>
        </w:trPr>
        <w:tc>
          <w:tcPr>
            <w:tcW w:w="2043" w:type="pct"/>
            <w:vMerge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vMerge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5" w:type="pct"/>
            <w:vMerge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5" w:type="pct"/>
            <w:vMerge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2010 г.</w:t>
            </w:r>
          </w:p>
        </w:tc>
        <w:tc>
          <w:tcPr>
            <w:tcW w:w="489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2012 г.</w:t>
            </w:r>
          </w:p>
        </w:tc>
      </w:tr>
      <w:tr w:rsidR="00F218CD" w:rsidRPr="00745847" w:rsidTr="00F218CD">
        <w:trPr>
          <w:jc w:val="center"/>
        </w:trPr>
        <w:tc>
          <w:tcPr>
            <w:tcW w:w="204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Азотные удобрения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6926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8602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7688</w:t>
            </w:r>
          </w:p>
        </w:tc>
        <w:tc>
          <w:tcPr>
            <w:tcW w:w="49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7366</w:t>
            </w:r>
          </w:p>
        </w:tc>
        <w:tc>
          <w:tcPr>
            <w:tcW w:w="49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489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</w:tr>
      <w:tr w:rsidR="00F218CD" w:rsidRPr="00745847" w:rsidTr="00F218CD">
        <w:trPr>
          <w:jc w:val="center"/>
        </w:trPr>
        <w:tc>
          <w:tcPr>
            <w:tcW w:w="204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 xml:space="preserve">Фосфорные удобрения 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11613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49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10375</w:t>
            </w:r>
          </w:p>
        </w:tc>
        <w:tc>
          <w:tcPr>
            <w:tcW w:w="49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489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</w:tr>
      <w:tr w:rsidR="00F218CD" w:rsidRPr="00745847" w:rsidTr="00F218CD">
        <w:trPr>
          <w:jc w:val="center"/>
        </w:trPr>
        <w:tc>
          <w:tcPr>
            <w:tcW w:w="204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 xml:space="preserve">Калийные удобрения 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6851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10221</w:t>
            </w:r>
          </w:p>
        </w:tc>
        <w:tc>
          <w:tcPr>
            <w:tcW w:w="49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8536</w:t>
            </w:r>
          </w:p>
        </w:tc>
        <w:tc>
          <w:tcPr>
            <w:tcW w:w="49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5280</w:t>
            </w:r>
          </w:p>
        </w:tc>
        <w:tc>
          <w:tcPr>
            <w:tcW w:w="49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77,1</w:t>
            </w:r>
          </w:p>
        </w:tc>
        <w:tc>
          <w:tcPr>
            <w:tcW w:w="489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F218CD" w:rsidRPr="00745847" w:rsidTr="00F218CD">
        <w:trPr>
          <w:jc w:val="center"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Источник: Промышленность России. – 2014. – С. 205-207.</w:t>
            </w:r>
          </w:p>
        </w:tc>
      </w:tr>
    </w:tbl>
    <w:p w:rsidR="00F218CD" w:rsidRPr="00745847" w:rsidRDefault="00F218CD" w:rsidP="006B7357">
      <w:pPr>
        <w:tabs>
          <w:tab w:val="left" w:pos="851"/>
        </w:tabs>
        <w:ind w:firstLine="709"/>
        <w:contextualSpacing/>
        <w:jc w:val="both"/>
        <w:rPr>
          <w:rFonts w:eastAsia="Arial Unicode MS"/>
          <w:bCs/>
        </w:rPr>
      </w:pPr>
    </w:p>
    <w:p w:rsidR="00F218CD" w:rsidRPr="00745847" w:rsidRDefault="00D60B9C" w:rsidP="00D60B9C">
      <w:pPr>
        <w:widowControl w:val="0"/>
        <w:ind w:firstLine="709"/>
        <w:contextualSpacing/>
        <w:jc w:val="both"/>
        <w:rPr>
          <w:i/>
          <w:lang w:eastAsia="ar-SA"/>
        </w:rPr>
      </w:pPr>
      <w:r w:rsidRPr="00745847">
        <w:rPr>
          <w:i/>
          <w:lang w:eastAsia="ar-SA"/>
        </w:rPr>
        <w:t xml:space="preserve">6. </w:t>
      </w:r>
      <w:r w:rsidR="00F218CD" w:rsidRPr="00745847">
        <w:rPr>
          <w:i/>
          <w:lang w:eastAsia="ar-SA"/>
        </w:rPr>
        <w:t>Негативная динамика мировых тенденций развития отрасли минеральных удобрений отразилась на финансовых показателях деятельности российских предприятий.</w:t>
      </w:r>
    </w:p>
    <w:p w:rsidR="00F218CD" w:rsidRPr="00745847" w:rsidRDefault="00F218CD" w:rsidP="00D60B9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Прибыль от продаж химической отрасли в </w:t>
      </w:r>
      <w:r w:rsidRPr="00745847">
        <w:rPr>
          <w:lang w:val="en-US" w:eastAsia="ar-SA"/>
        </w:rPr>
        <w:t>I</w:t>
      </w:r>
      <w:r w:rsidRPr="00745847">
        <w:rPr>
          <w:lang w:eastAsia="ar-SA"/>
        </w:rPr>
        <w:t xml:space="preserve"> полугодии 2015 года составила 280,5 млрд. руб., увеличившись по сравнению с аналогичным периодом 2014 года в 2,5 раза. Это способствовало выходу предприятий из убыточного состояния (-27,1 млрд. руб.) с достижением прибыли 368,8 млрд. руб.</w:t>
      </w:r>
      <w:r w:rsidRPr="00745847">
        <w:t xml:space="preserve"> </w:t>
      </w:r>
      <w:r w:rsidRPr="00745847">
        <w:rPr>
          <w:lang w:eastAsia="ar-SA"/>
        </w:rPr>
        <w:t>В результате рентабельность в целом по отрасли, рассчитанная как отношение прибыли от продаж к выручке, составила в 2015 году 24% (табл. 3).</w:t>
      </w:r>
    </w:p>
    <w:p w:rsidR="00F218CD" w:rsidRPr="00745847" w:rsidRDefault="00F218CD" w:rsidP="006B7357">
      <w:pPr>
        <w:widowControl w:val="0"/>
        <w:ind w:right="-143"/>
        <w:contextualSpacing/>
        <w:jc w:val="center"/>
        <w:rPr>
          <w:lang w:eastAsia="ar-SA"/>
        </w:rPr>
      </w:pPr>
      <w:r w:rsidRPr="00745847">
        <w:rPr>
          <w:lang w:eastAsia="ar-SA"/>
        </w:rPr>
        <w:t xml:space="preserve">Таблица 3. Финансовые показатели деятельности предприятий </w:t>
      </w:r>
    </w:p>
    <w:p w:rsidR="00F218CD" w:rsidRPr="00745847" w:rsidRDefault="00F218CD" w:rsidP="006B7357">
      <w:pPr>
        <w:widowControl w:val="0"/>
        <w:ind w:right="-143"/>
        <w:contextualSpacing/>
        <w:jc w:val="center"/>
        <w:rPr>
          <w:rFonts w:eastAsia="Arial Unicode MS"/>
          <w:bCs/>
        </w:rPr>
      </w:pPr>
      <w:r w:rsidRPr="00745847">
        <w:rPr>
          <w:lang w:eastAsia="ar-SA"/>
        </w:rPr>
        <w:t>химической промышленности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723"/>
        <w:gridCol w:w="919"/>
        <w:gridCol w:w="793"/>
        <w:gridCol w:w="837"/>
        <w:gridCol w:w="837"/>
        <w:gridCol w:w="880"/>
      </w:tblGrid>
      <w:tr w:rsidR="00F218CD" w:rsidRPr="00745847" w:rsidTr="00F218CD">
        <w:trPr>
          <w:trHeight w:val="621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2012 г.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2013 г.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2014 г.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</w:t>
            </w: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 xml:space="preserve"> пол. 2014 г.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</w:t>
            </w: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 xml:space="preserve"> пол. 2015 г.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 xml:space="preserve">2015 г. </w:t>
            </w:r>
            <w:r w:rsidRPr="00745847">
              <w:rPr>
                <w:rFonts w:ascii="Arial" w:eastAsia="Arial Unicode MS" w:hAnsi="Arial" w:cs="Arial"/>
                <w:sz w:val="18"/>
                <w:szCs w:val="18"/>
              </w:rPr>
              <w:br/>
              <w:t>в % к</w:t>
            </w:r>
          </w:p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2014 г.</w:t>
            </w:r>
          </w:p>
        </w:tc>
      </w:tr>
      <w:tr w:rsidR="00F218CD" w:rsidRPr="00745847" w:rsidTr="00F218CD">
        <w:trPr>
          <w:trHeight w:val="77"/>
        </w:trPr>
        <w:tc>
          <w:tcPr>
            <w:tcW w:w="5000" w:type="pct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Химическая промышленность</w:t>
            </w:r>
          </w:p>
        </w:tc>
      </w:tr>
      <w:tr w:rsidR="00F218CD" w:rsidRPr="00745847" w:rsidTr="00F218CD">
        <w:trPr>
          <w:trHeight w:val="163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  <w:t xml:space="preserve">Сальдированный финансовый </w:t>
            </w:r>
          </w:p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  <w:t>результат (прибыль минус убыток), млн. руб.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left="-88" w:right="-3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 xml:space="preserve"> 279651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145871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-27130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-5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368814*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х</w:t>
            </w:r>
          </w:p>
        </w:tc>
      </w:tr>
      <w:tr w:rsidR="00F218CD" w:rsidRPr="00745847" w:rsidTr="00F218CD">
        <w:trPr>
          <w:trHeight w:val="163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Прибыль (убыток) до налогообложения, млрд. руб.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291,3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165,8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16,1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110,7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280,5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253,4</w:t>
            </w:r>
          </w:p>
        </w:tc>
      </w:tr>
      <w:tr w:rsidR="00F218CD" w:rsidRPr="00745847" w:rsidTr="00F218CD">
        <w:trPr>
          <w:trHeight w:val="70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Выручка от продаж (за минусом налога на добавленную стоимость, акцизов и иных аналогичных обязательных платежей), млрд. руб.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1606,9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1718,0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1806,4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926,4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1172,4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126,6</w:t>
            </w:r>
          </w:p>
        </w:tc>
      </w:tr>
      <w:tr w:rsidR="00F218CD" w:rsidRPr="00745847" w:rsidTr="00F218CD">
        <w:trPr>
          <w:trHeight w:val="70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Рентабельность продаж, %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18%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10%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21%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12%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24%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 xml:space="preserve">12 </w:t>
            </w:r>
            <w:proofErr w:type="spellStart"/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п.п</w:t>
            </w:r>
            <w:proofErr w:type="spellEnd"/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.</w:t>
            </w:r>
          </w:p>
        </w:tc>
      </w:tr>
      <w:tr w:rsidR="00F218CD" w:rsidRPr="00745847" w:rsidTr="00F218CD">
        <w:trPr>
          <w:trHeight w:val="70"/>
        </w:trPr>
        <w:tc>
          <w:tcPr>
            <w:tcW w:w="5000" w:type="pct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Производство минеральных удобрений</w:t>
            </w:r>
          </w:p>
        </w:tc>
      </w:tr>
      <w:tr w:rsidR="00F218CD" w:rsidRPr="00745847" w:rsidTr="00F218CD">
        <w:trPr>
          <w:trHeight w:val="70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Прибыль (убыток) до налогообложения, млрд. руб.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182,5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89,9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25,0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66,6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137,1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205,9</w:t>
            </w:r>
          </w:p>
        </w:tc>
      </w:tr>
      <w:tr w:rsidR="00F218CD" w:rsidRPr="00745847" w:rsidTr="00F218CD">
        <w:trPr>
          <w:trHeight w:val="70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 xml:space="preserve">Выручка от продаж (за минусом налога на добавленную стоимость, акцизов и иных аналогичных </w:t>
            </w: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lastRenderedPageBreak/>
              <w:t>обязательных платежей), млрд. руб.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lastRenderedPageBreak/>
              <w:t>519,2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542,5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501,7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271,3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369,8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136,3</w:t>
            </w:r>
          </w:p>
        </w:tc>
      </w:tr>
      <w:tr w:rsidR="00F218CD" w:rsidRPr="00745847" w:rsidTr="00F218CD">
        <w:trPr>
          <w:trHeight w:val="70"/>
        </w:trPr>
        <w:tc>
          <w:tcPr>
            <w:tcW w:w="2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lastRenderedPageBreak/>
              <w:t>Рентабельность продаж, %</w:t>
            </w:r>
          </w:p>
        </w:tc>
        <w:tc>
          <w:tcPr>
            <w:tcW w:w="3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35%</w:t>
            </w:r>
          </w:p>
        </w:tc>
        <w:tc>
          <w:tcPr>
            <w:tcW w:w="4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17%</w:t>
            </w:r>
          </w:p>
        </w:tc>
        <w:tc>
          <w:tcPr>
            <w:tcW w:w="40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5%</w:t>
            </w:r>
          </w:p>
        </w:tc>
        <w:tc>
          <w:tcPr>
            <w:tcW w:w="4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25%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37%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 xml:space="preserve">12 </w:t>
            </w:r>
            <w:proofErr w:type="spellStart"/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п.п</w:t>
            </w:r>
            <w:proofErr w:type="spellEnd"/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.</w:t>
            </w:r>
          </w:p>
        </w:tc>
      </w:tr>
      <w:tr w:rsidR="00F218CD" w:rsidRPr="00745847" w:rsidTr="00F218CD">
        <w:trPr>
          <w:trHeight w:val="292"/>
        </w:trPr>
        <w:tc>
          <w:tcPr>
            <w:tcW w:w="5000" w:type="pct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* В целом за 2015 год.</w:t>
            </w:r>
          </w:p>
          <w:p w:rsidR="00F218CD" w:rsidRPr="00745847" w:rsidRDefault="00F218CD" w:rsidP="00B659E3">
            <w:pPr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Составлено по: данные Росстата; [</w:t>
            </w:r>
            <w:r w:rsidR="00B659E3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].</w:t>
            </w:r>
          </w:p>
        </w:tc>
      </w:tr>
    </w:tbl>
    <w:p w:rsidR="00F218CD" w:rsidRPr="00745847" w:rsidRDefault="00F218CD" w:rsidP="006B7357">
      <w:pPr>
        <w:widowControl w:val="0"/>
        <w:ind w:firstLine="539"/>
        <w:contextualSpacing/>
        <w:jc w:val="both"/>
        <w:rPr>
          <w:lang w:eastAsia="ar-SA"/>
        </w:rPr>
      </w:pPr>
    </w:p>
    <w:p w:rsidR="00F218CD" w:rsidRPr="00745847" w:rsidRDefault="00F218CD" w:rsidP="006B7357">
      <w:pPr>
        <w:widowControl w:val="0"/>
        <w:ind w:firstLine="539"/>
        <w:contextualSpacing/>
        <w:jc w:val="both"/>
        <w:rPr>
          <w:lang w:eastAsia="ar-SA"/>
        </w:rPr>
      </w:pPr>
      <w:r w:rsidRPr="00745847">
        <w:rPr>
          <w:lang w:eastAsia="ar-SA"/>
        </w:rPr>
        <w:t>Подчеркнем, что нестабильное финансовое состояние предприятий химической промышленности в 2014 году не повлияло на инвестиционную деятельность предприятий. Судя по данным табл. 4, объем вложений как в целом по отрасли, так и в сегменте производства минеральных удобрений ежегодно увеличивается.</w:t>
      </w:r>
    </w:p>
    <w:p w:rsidR="00F218CD" w:rsidRPr="00745847" w:rsidRDefault="00F218CD" w:rsidP="006B7357">
      <w:pPr>
        <w:widowControl w:val="0"/>
        <w:contextualSpacing/>
        <w:jc w:val="center"/>
        <w:rPr>
          <w:rFonts w:eastAsia="Arial Unicode MS"/>
          <w:bCs/>
        </w:rPr>
      </w:pPr>
      <w:r w:rsidRPr="00745847">
        <w:rPr>
          <w:lang w:eastAsia="ar-SA"/>
        </w:rPr>
        <w:t>Таблица 4. Инвестиции в основной капитал химического производства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818"/>
        <w:gridCol w:w="818"/>
        <w:gridCol w:w="818"/>
        <w:gridCol w:w="818"/>
        <w:gridCol w:w="818"/>
        <w:gridCol w:w="1225"/>
      </w:tblGrid>
      <w:tr w:rsidR="00F218CD" w:rsidRPr="00745847" w:rsidTr="00F218CD">
        <w:trPr>
          <w:trHeight w:val="335"/>
        </w:trPr>
        <w:tc>
          <w:tcPr>
            <w:tcW w:w="225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2012 г.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2013 г.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2014 г.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2014 г.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2015 г.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2015 г. в % к 2014 г.</w:t>
            </w:r>
          </w:p>
        </w:tc>
      </w:tr>
      <w:tr w:rsidR="00F218CD" w:rsidRPr="00745847" w:rsidTr="00F218CD">
        <w:trPr>
          <w:trHeight w:val="163"/>
        </w:trPr>
        <w:tc>
          <w:tcPr>
            <w:tcW w:w="225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Инвестиции в основной капитал химического производства по полному кругу организаций, млрд. руб.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212,3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238,8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254,2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261,5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362,8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138,7</w:t>
            </w:r>
          </w:p>
        </w:tc>
      </w:tr>
      <w:tr w:rsidR="00F218CD" w:rsidRPr="00745847" w:rsidTr="00F218CD">
        <w:trPr>
          <w:trHeight w:val="70"/>
        </w:trPr>
        <w:tc>
          <w:tcPr>
            <w:tcW w:w="225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Индекс физического объема инвестиций в основной капитал химического производства по полному кругу организаций, %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124,6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102,2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100,4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101,9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102,5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100,6</w:t>
            </w:r>
          </w:p>
        </w:tc>
      </w:tr>
      <w:tr w:rsidR="00F218CD" w:rsidRPr="00745847" w:rsidTr="00F218CD">
        <w:trPr>
          <w:trHeight w:val="70"/>
        </w:trPr>
        <w:tc>
          <w:tcPr>
            <w:tcW w:w="225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Инвестиции в основной капитал химического производства по крупным и средним организациям, млрд. руб.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153,4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152,8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183,2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105,2*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116,7**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110,9</w:t>
            </w:r>
          </w:p>
        </w:tc>
      </w:tr>
      <w:tr w:rsidR="00F218CD" w:rsidRPr="00745847" w:rsidTr="00F218CD">
        <w:trPr>
          <w:trHeight w:val="70"/>
        </w:trPr>
        <w:tc>
          <w:tcPr>
            <w:tcW w:w="225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– в том числе производство минеральных удобрений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52,7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66,8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67,9</w:t>
            </w:r>
          </w:p>
        </w:tc>
        <w:tc>
          <w:tcPr>
            <w:tcW w:w="42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45,5*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44,0**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96,7</w:t>
            </w:r>
          </w:p>
        </w:tc>
      </w:tr>
      <w:tr w:rsidR="00F218CD" w:rsidRPr="00745847" w:rsidTr="00F218CD">
        <w:trPr>
          <w:trHeight w:val="70"/>
        </w:trPr>
        <w:tc>
          <w:tcPr>
            <w:tcW w:w="5000" w:type="pct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 xml:space="preserve">* За </w:t>
            </w:r>
            <w:r w:rsidRPr="00745847">
              <w:rPr>
                <w:rFonts w:ascii="Arial" w:hAnsi="Arial" w:cs="Arial"/>
                <w:sz w:val="18"/>
                <w:szCs w:val="18"/>
                <w:lang w:val="en-US" w:eastAsia="ar-SA"/>
              </w:rPr>
              <w:t>I</w:t>
            </w: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пол. 2014 г. ** За </w:t>
            </w:r>
            <w:r w:rsidRPr="00745847">
              <w:rPr>
                <w:rFonts w:ascii="Arial" w:hAnsi="Arial" w:cs="Arial"/>
                <w:sz w:val="18"/>
                <w:szCs w:val="18"/>
                <w:lang w:val="en-US" w:eastAsia="ar-SA"/>
              </w:rPr>
              <w:t>II</w:t>
            </w: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пол 2015 г.</w:t>
            </w:r>
          </w:p>
          <w:p w:rsidR="00F218CD" w:rsidRPr="00745847" w:rsidRDefault="00F218CD" w:rsidP="00B659E3">
            <w:pPr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Источники: данные Росстата; [</w:t>
            </w:r>
            <w:r w:rsidR="00B659E3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].</w:t>
            </w:r>
          </w:p>
        </w:tc>
      </w:tr>
    </w:tbl>
    <w:p w:rsidR="00F218CD" w:rsidRPr="00745847" w:rsidRDefault="00F218CD" w:rsidP="006B7357">
      <w:pPr>
        <w:widowControl w:val="0"/>
        <w:ind w:right="-2"/>
        <w:contextualSpacing/>
        <w:jc w:val="both"/>
        <w:rPr>
          <w:lang w:eastAsia="ar-SA"/>
        </w:rPr>
      </w:pPr>
    </w:p>
    <w:p w:rsidR="00F218CD" w:rsidRPr="00745847" w:rsidRDefault="00F218CD" w:rsidP="00D60B9C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Вместе с тем наблюдалось снижение основных показателей занятости в химическом производстве. В 2012–2014 гг. увеличение фонда оплаты труда происходило на фоне сокращения численности работников</w:t>
      </w:r>
      <w:r w:rsidR="00745847" w:rsidRPr="00745847">
        <w:rPr>
          <w:lang w:eastAsia="ar-SA"/>
        </w:rPr>
        <w:t xml:space="preserve"> [7</w:t>
      </w:r>
      <w:r w:rsidR="00B659E3">
        <w:rPr>
          <w:lang w:eastAsia="ar-SA"/>
        </w:rPr>
        <w:t>, с. 226</w:t>
      </w:r>
      <w:r w:rsidR="00745847" w:rsidRPr="00745847">
        <w:rPr>
          <w:lang w:eastAsia="ar-SA"/>
        </w:rPr>
        <w:t>]</w:t>
      </w:r>
      <w:r w:rsidRPr="00745847">
        <w:rPr>
          <w:lang w:eastAsia="ar-SA"/>
        </w:rPr>
        <w:t xml:space="preserve">. Аналогичная ситуация и с производством удобрений, которое обеспечивает трудоустройство 15% занятых в химической промышленности в целом </w:t>
      </w:r>
      <w:r w:rsidRPr="00745847">
        <w:rPr>
          <w:lang w:eastAsia="ar-SA"/>
        </w:rPr>
        <w:br/>
        <w:t xml:space="preserve">(51,1 тыс. чел.; табл. 5). </w:t>
      </w:r>
    </w:p>
    <w:p w:rsidR="00F218CD" w:rsidRPr="00745847" w:rsidRDefault="00F218CD" w:rsidP="006B7357">
      <w:pPr>
        <w:widowControl w:val="0"/>
        <w:contextualSpacing/>
        <w:jc w:val="center"/>
        <w:rPr>
          <w:rFonts w:eastAsia="Arial Unicode MS"/>
          <w:bCs/>
        </w:rPr>
      </w:pPr>
      <w:r w:rsidRPr="00745847">
        <w:rPr>
          <w:lang w:eastAsia="ar-SA"/>
        </w:rPr>
        <w:t>Таблица 5. Показатели занятости и оплаты труда в химическом производстве</w:t>
      </w:r>
    </w:p>
    <w:tbl>
      <w:tblPr>
        <w:tblW w:w="49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8"/>
        <w:gridCol w:w="817"/>
        <w:gridCol w:w="821"/>
        <w:gridCol w:w="819"/>
        <w:gridCol w:w="817"/>
        <w:gridCol w:w="819"/>
        <w:gridCol w:w="1158"/>
      </w:tblGrid>
      <w:tr w:rsidR="00F218CD" w:rsidRPr="00745847" w:rsidTr="00F218CD">
        <w:trPr>
          <w:trHeight w:val="321"/>
        </w:trPr>
        <w:tc>
          <w:tcPr>
            <w:tcW w:w="2271" w:type="pct"/>
            <w:shd w:val="clear" w:color="auto" w:fill="auto"/>
            <w:noWrap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425" w:type="pct"/>
            <w:gridSpan w:val="2"/>
            <w:shd w:val="clear" w:color="auto" w:fill="auto"/>
            <w:noWrap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2012 г.</w:t>
            </w:r>
          </w:p>
        </w:tc>
        <w:tc>
          <w:tcPr>
            <w:tcW w:w="426" w:type="pct"/>
            <w:shd w:val="clear" w:color="auto" w:fill="auto"/>
            <w:noWrap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-2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2013 г.</w:t>
            </w:r>
          </w:p>
        </w:tc>
        <w:tc>
          <w:tcPr>
            <w:tcW w:w="425" w:type="pct"/>
            <w:shd w:val="clear" w:color="auto" w:fill="auto"/>
            <w:noWrap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2014 г.</w:t>
            </w:r>
          </w:p>
        </w:tc>
        <w:tc>
          <w:tcPr>
            <w:tcW w:w="424" w:type="pct"/>
            <w:shd w:val="clear" w:color="auto" w:fill="auto"/>
            <w:noWrap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</w:t>
            </w: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 xml:space="preserve"> пол. 2014 г.</w:t>
            </w:r>
          </w:p>
        </w:tc>
        <w:tc>
          <w:tcPr>
            <w:tcW w:w="42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</w:t>
            </w: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 xml:space="preserve"> пол. 2015 г.</w:t>
            </w:r>
          </w:p>
        </w:tc>
        <w:tc>
          <w:tcPr>
            <w:tcW w:w="603" w:type="pct"/>
            <w:tcMar>
              <w:top w:w="57" w:type="dxa"/>
              <w:left w:w="57" w:type="dxa"/>
              <w:right w:w="57" w:type="dxa"/>
            </w:tcMar>
          </w:tcPr>
          <w:p w:rsidR="00F218CD" w:rsidRPr="00745847" w:rsidRDefault="00F218CD" w:rsidP="006B7357">
            <w:pPr>
              <w:contextualSpacing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45847">
              <w:rPr>
                <w:rFonts w:ascii="Arial" w:eastAsia="Arial Unicode MS" w:hAnsi="Arial" w:cs="Arial"/>
                <w:sz w:val="18"/>
                <w:szCs w:val="18"/>
              </w:rPr>
              <w:t>2015 г. в % к 2014 г.</w:t>
            </w:r>
          </w:p>
        </w:tc>
      </w:tr>
      <w:tr w:rsidR="00F218CD" w:rsidRPr="00745847" w:rsidTr="00F218CD">
        <w:trPr>
          <w:trHeight w:val="77"/>
        </w:trPr>
        <w:tc>
          <w:tcPr>
            <w:tcW w:w="5000" w:type="pct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Химическая промышленность</w:t>
            </w:r>
          </w:p>
        </w:tc>
      </w:tr>
      <w:tr w:rsidR="00F218CD" w:rsidRPr="00745847" w:rsidTr="00F218CD">
        <w:trPr>
          <w:trHeight w:val="163"/>
        </w:trPr>
        <w:tc>
          <w:tcPr>
            <w:tcW w:w="2275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218CD" w:rsidRPr="00745847" w:rsidRDefault="00F218CD" w:rsidP="006B7357">
            <w:pPr>
              <w:widowControl w:val="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Фонд начисленной заработной платы по всем работникам, млрд. руб.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127,1</w:t>
            </w:r>
          </w:p>
        </w:tc>
        <w:tc>
          <w:tcPr>
            <w:tcW w:w="42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140,3</w:t>
            </w:r>
          </w:p>
        </w:tc>
        <w:tc>
          <w:tcPr>
            <w:tcW w:w="4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152,4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74,9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81,3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108,5</w:t>
            </w:r>
          </w:p>
        </w:tc>
      </w:tr>
      <w:tr w:rsidR="00F218CD" w:rsidRPr="00745847" w:rsidTr="00F218CD">
        <w:trPr>
          <w:trHeight w:val="70"/>
        </w:trPr>
        <w:tc>
          <w:tcPr>
            <w:tcW w:w="2275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218CD" w:rsidRPr="00745847" w:rsidRDefault="00F218CD" w:rsidP="006B7357">
            <w:pPr>
              <w:widowControl w:val="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Средняя численность всех работников, тыс. чел.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352,8</w:t>
            </w:r>
          </w:p>
        </w:tc>
        <w:tc>
          <w:tcPr>
            <w:tcW w:w="42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346,9</w:t>
            </w:r>
          </w:p>
        </w:tc>
        <w:tc>
          <w:tcPr>
            <w:tcW w:w="4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336,8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339,8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339,6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99,9</w:t>
            </w:r>
          </w:p>
        </w:tc>
      </w:tr>
      <w:tr w:rsidR="00F218CD" w:rsidRPr="00745847" w:rsidTr="00F218CD">
        <w:trPr>
          <w:trHeight w:val="70"/>
        </w:trPr>
        <w:tc>
          <w:tcPr>
            <w:tcW w:w="5000" w:type="pct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Производство минеральных удобрений</w:t>
            </w:r>
          </w:p>
        </w:tc>
      </w:tr>
      <w:tr w:rsidR="00F218CD" w:rsidRPr="00745847" w:rsidTr="00F218CD">
        <w:trPr>
          <w:trHeight w:val="70"/>
        </w:trPr>
        <w:tc>
          <w:tcPr>
            <w:tcW w:w="2271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218CD" w:rsidRPr="00745847" w:rsidRDefault="00F218CD" w:rsidP="006B7357">
            <w:pPr>
              <w:widowControl w:val="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Фонд начисленной заработной платы по всем работникам, млрд. руб.</w:t>
            </w:r>
          </w:p>
        </w:tc>
        <w:tc>
          <w:tcPr>
            <w:tcW w:w="425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23,2</w:t>
            </w:r>
          </w:p>
        </w:tc>
        <w:tc>
          <w:tcPr>
            <w:tcW w:w="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24,9</w:t>
            </w:r>
          </w:p>
        </w:tc>
        <w:tc>
          <w:tcPr>
            <w:tcW w:w="4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26,2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13,0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13,8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106,2</w:t>
            </w:r>
          </w:p>
        </w:tc>
      </w:tr>
      <w:tr w:rsidR="00F218CD" w:rsidRPr="00745847" w:rsidTr="00F218CD">
        <w:trPr>
          <w:trHeight w:val="70"/>
        </w:trPr>
        <w:tc>
          <w:tcPr>
            <w:tcW w:w="2271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218CD" w:rsidRPr="00745847" w:rsidRDefault="00F218CD" w:rsidP="006B7357">
            <w:pPr>
              <w:widowControl w:val="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Средняя численность всех работников, тыс. чел</w:t>
            </w:r>
          </w:p>
        </w:tc>
        <w:tc>
          <w:tcPr>
            <w:tcW w:w="425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57,7</w:t>
            </w:r>
          </w:p>
        </w:tc>
        <w:tc>
          <w:tcPr>
            <w:tcW w:w="42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55,6</w:t>
            </w:r>
          </w:p>
        </w:tc>
        <w:tc>
          <w:tcPr>
            <w:tcW w:w="4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51,9</w:t>
            </w:r>
          </w:p>
        </w:tc>
        <w:tc>
          <w:tcPr>
            <w:tcW w:w="4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52,9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right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51,1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96,6</w:t>
            </w:r>
          </w:p>
        </w:tc>
      </w:tr>
      <w:tr w:rsidR="00F218CD" w:rsidRPr="00745847" w:rsidTr="00F218CD">
        <w:trPr>
          <w:trHeight w:val="70"/>
        </w:trPr>
        <w:tc>
          <w:tcPr>
            <w:tcW w:w="5000" w:type="pct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18CD" w:rsidRPr="00745847" w:rsidRDefault="00F218CD" w:rsidP="006B7357">
            <w:pPr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5847">
              <w:rPr>
                <w:rFonts w:ascii="Arial" w:hAnsi="Arial" w:cs="Arial"/>
                <w:sz w:val="18"/>
                <w:szCs w:val="18"/>
                <w:lang w:eastAsia="ar-SA"/>
              </w:rPr>
              <w:t>Источники: данные Росстата; [2].</w:t>
            </w:r>
          </w:p>
        </w:tc>
      </w:tr>
    </w:tbl>
    <w:p w:rsidR="00F218CD" w:rsidRPr="00745847" w:rsidRDefault="00F218CD" w:rsidP="006B7357">
      <w:pPr>
        <w:widowControl w:val="0"/>
        <w:ind w:right="-2" w:firstLine="540"/>
        <w:contextualSpacing/>
        <w:jc w:val="both"/>
        <w:rPr>
          <w:lang w:eastAsia="ar-SA"/>
        </w:rPr>
      </w:pPr>
    </w:p>
    <w:p w:rsidR="007F7EDC" w:rsidRPr="00745847" w:rsidRDefault="00F218CD" w:rsidP="00A57229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Проведенный нами анализ особенностей развития отечественной отрасли минеральных удобрений позволяет сделать вывод о том, что их производство является одним из базовых сегментов химического и в целом промышленного комплекса страны. Состояние и развитие отрасли имеют стратегическое значение как для продовольственной безопасности РФ, так и для развития других отраслей экономики. </w:t>
      </w:r>
    </w:p>
    <w:p w:rsidR="00BA62DF" w:rsidRPr="00745847" w:rsidRDefault="00BA62DF" w:rsidP="00C5201B">
      <w:pPr>
        <w:widowControl w:val="0"/>
        <w:ind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Вместе с тем ряд проведенных исследований [</w:t>
      </w:r>
      <w:r w:rsidR="00745847" w:rsidRPr="00745847">
        <w:rPr>
          <w:lang w:eastAsia="ar-SA"/>
        </w:rPr>
        <w:t>4</w:t>
      </w:r>
      <w:r w:rsidRPr="00745847">
        <w:rPr>
          <w:lang w:eastAsia="ar-SA"/>
        </w:rPr>
        <w:t xml:space="preserve">] содержат тезис о постепенной утрате имеющихся и отставанием в формировании новых конкурентных преимуществ. Для устранения негативных факторов органами власти осуществляются государственное регулирование производства минеральных удобрений в рамках управления химической отраслью промышленности РФ, которая относится к ряду стратегических. Стратегия развития химического и нефтехимического комплекса до 2030 года определяет приоритетные направления государственной поддержки отрасли удобрений: поддержка развития производства (инвестиционных проектов) и операционной деятельности системообразующих хозяйствующих субъектов. </w:t>
      </w:r>
    </w:p>
    <w:p w:rsidR="00BA62DF" w:rsidRPr="00745847" w:rsidRDefault="00BA62DF" w:rsidP="007F7ED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lastRenderedPageBreak/>
        <w:t>Особенностью российского рынка минеральных удобрений является невысокий уровень спроса, покрывающий на сегодняшний день около 30% выпуска. Стимулировать спрос со стороны российского сельского хозяйства будет реализация программ импортозамещения и мероприятий, предусмотренных Государственной программой развития сельского хозяйства на 2013–2020 гг. Среди главных приоритетов дальнейшего развития АПК выделяется сохранение и увеличение почвенного плодородия, что планируется обеспечить в том числе ростом внесения удобрений. В перспективе до 2020 года, при условии реализации поставленных правительством задач, внесение удобрений может увеличиться более чем вдвое – до 80–100 кг на гектар посева против 40 кг в 2014 году. При условии реализации поставленных Правительством задач спрос со стороны АПК в 2020 году может превысить 4 млн. т [</w:t>
      </w:r>
      <w:r w:rsidR="00745847" w:rsidRPr="00745847">
        <w:rPr>
          <w:lang w:eastAsia="ar-SA"/>
        </w:rPr>
        <w:t>3</w:t>
      </w:r>
      <w:r w:rsidR="00B659E3">
        <w:rPr>
          <w:lang w:eastAsia="ar-SA"/>
        </w:rPr>
        <w:t>, с. 21</w:t>
      </w:r>
      <w:r w:rsidRPr="00745847">
        <w:rPr>
          <w:lang w:eastAsia="ar-SA"/>
        </w:rPr>
        <w:t xml:space="preserve">]. </w:t>
      </w:r>
    </w:p>
    <w:p w:rsidR="00BA62DF" w:rsidRPr="00745847" w:rsidRDefault="00BA62DF" w:rsidP="007F7ED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С учетом описанных тенденций развития спроса на российском рынке минеральных удобрений, а также планов по наращиванию мощностей, можно представить прогноз основных показателей российского рынка минеральных удобрений.</w:t>
      </w:r>
    </w:p>
    <w:p w:rsidR="00BA62DF" w:rsidRPr="00745847" w:rsidRDefault="00BA62DF" w:rsidP="007F7EDC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Базовый вариант прогноза на 2016–2018 гг. основан на том, что российские производители сохранят позиции на мировом рынке как за счет реализации мероприятий, направленных на модернизацию производственных мощностей и развитию дистрибуции, так и за счет компенсационных факторов (таких, как ограниченное предложение по причине геополитических факторов и ожидаемые отсрочки по вводу новых мощностей). Также предполагается, что емкость внутреннего рынка будет расти. В этих условиях, в 2016–2018 гг. можно ожидать роста объемов производства с достижением в 2018 году прироста в 8,6% по отношению к уровню 2014 года.</w:t>
      </w:r>
    </w:p>
    <w:p w:rsidR="00BA62DF" w:rsidRPr="00745847" w:rsidRDefault="00BA62DF" w:rsidP="00BA62DF">
      <w:pPr>
        <w:widowControl w:val="0"/>
        <w:ind w:right="-2"/>
        <w:contextualSpacing/>
        <w:jc w:val="center"/>
        <w:rPr>
          <w:lang w:eastAsia="ar-SA"/>
        </w:rPr>
      </w:pPr>
      <w:r w:rsidRPr="00745847">
        <w:rPr>
          <w:rFonts w:eastAsia="Arial Unicode MS"/>
        </w:rPr>
        <w:t xml:space="preserve">Таблица </w:t>
      </w:r>
      <w:r w:rsidR="003D6255" w:rsidRPr="00745847">
        <w:rPr>
          <w:rFonts w:eastAsia="Arial Unicode MS"/>
        </w:rPr>
        <w:t>6</w:t>
      </w:r>
      <w:r w:rsidRPr="00745847">
        <w:rPr>
          <w:rFonts w:eastAsia="Arial Unicode MS"/>
        </w:rPr>
        <w:t xml:space="preserve">. </w:t>
      </w:r>
      <w:r w:rsidRPr="00745847">
        <w:rPr>
          <w:lang w:eastAsia="ar-SA"/>
        </w:rPr>
        <w:t xml:space="preserve">Прогноз основных показателей российского рынка минеральных удобрений, </w:t>
      </w:r>
    </w:p>
    <w:p w:rsidR="00BA62DF" w:rsidRPr="00745847" w:rsidRDefault="00BA62DF" w:rsidP="00BA62DF">
      <w:pPr>
        <w:widowControl w:val="0"/>
        <w:ind w:right="-2"/>
        <w:contextualSpacing/>
        <w:jc w:val="center"/>
        <w:rPr>
          <w:lang w:eastAsia="ar-SA"/>
        </w:rPr>
      </w:pPr>
      <w:r w:rsidRPr="00745847">
        <w:rPr>
          <w:lang w:eastAsia="ar-SA"/>
        </w:rPr>
        <w:t>млн. тонн (базовый сценарий)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7"/>
        <w:gridCol w:w="840"/>
        <w:gridCol w:w="844"/>
        <w:gridCol w:w="918"/>
        <w:gridCol w:w="923"/>
        <w:gridCol w:w="933"/>
        <w:gridCol w:w="1203"/>
      </w:tblGrid>
      <w:tr w:rsidR="00745847" w:rsidRPr="00745847" w:rsidTr="006240C2">
        <w:trPr>
          <w:trHeight w:hRule="exact" w:val="60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Удобрения в пересчете на 100 % питательных веществ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2014 г.</w:t>
            </w:r>
          </w:p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факт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2015 г.</w:t>
            </w:r>
          </w:p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оценка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2016 г.</w:t>
            </w:r>
          </w:p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2017 г.</w:t>
            </w:r>
          </w:p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2018 г.</w:t>
            </w:r>
          </w:p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Изменение 2014–2018 гг., +/-</w:t>
            </w:r>
          </w:p>
        </w:tc>
      </w:tr>
      <w:tr w:rsidR="00BA62DF" w:rsidRPr="00745847" w:rsidTr="007278A2">
        <w:trPr>
          <w:trHeight w:hRule="exact" w:val="28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Производство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19,5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21,3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1,7</w:t>
            </w:r>
          </w:p>
        </w:tc>
      </w:tr>
      <w:tr w:rsidR="00BA62DF" w:rsidRPr="00745847" w:rsidTr="007278A2">
        <w:trPr>
          <w:trHeight w:hRule="exact" w:val="26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Экспорт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14,9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15,0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0,7</w:t>
            </w:r>
          </w:p>
        </w:tc>
      </w:tr>
      <w:tr w:rsidR="00BA62DF" w:rsidRPr="00745847" w:rsidTr="007278A2">
        <w:trPr>
          <w:trHeight w:hRule="exact" w:val="21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Потребление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5,3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5,6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5,9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6,1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0,8</w:t>
            </w:r>
          </w:p>
        </w:tc>
      </w:tr>
      <w:tr w:rsidR="00BA62DF" w:rsidRPr="00745847" w:rsidTr="007278A2">
        <w:trPr>
          <w:trHeight w:hRule="exact" w:val="302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Доля экспорта в производстве,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71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71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-2</w:t>
            </w:r>
          </w:p>
        </w:tc>
      </w:tr>
      <w:tr w:rsidR="00BA62DF" w:rsidRPr="00745847" w:rsidTr="007278A2">
        <w:trPr>
          <w:trHeight w:hRule="exact" w:val="25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Доля импорта в потреблении,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х</w:t>
            </w:r>
          </w:p>
        </w:tc>
      </w:tr>
      <w:tr w:rsidR="00BA62DF" w:rsidRPr="00745847" w:rsidTr="007278A2">
        <w:trPr>
          <w:trHeight w:hRule="exact" w:val="1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DF" w:rsidRPr="00745847" w:rsidRDefault="00BA62DF" w:rsidP="00C5201B">
            <w:pPr>
              <w:widowControl w:val="0"/>
              <w:ind w:left="142" w:right="120"/>
              <w:contextualSpacing/>
              <w:jc w:val="both"/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 xml:space="preserve">Источник: </w:t>
            </w:r>
            <w:r w:rsidRP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[</w:t>
            </w: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3</w:t>
            </w:r>
            <w:r w:rsid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, с. 36</w:t>
            </w:r>
            <w:r w:rsidRP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]</w:t>
            </w: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.</w:t>
            </w:r>
          </w:p>
        </w:tc>
      </w:tr>
    </w:tbl>
    <w:p w:rsidR="00BA62DF" w:rsidRPr="00745847" w:rsidRDefault="00BA62DF" w:rsidP="00BA62DF">
      <w:pPr>
        <w:widowControl w:val="0"/>
        <w:ind w:right="-2"/>
        <w:contextualSpacing/>
        <w:jc w:val="both"/>
        <w:rPr>
          <w:lang w:eastAsia="ar-SA"/>
        </w:rPr>
      </w:pPr>
    </w:p>
    <w:p w:rsidR="00BA62DF" w:rsidRPr="00745847" w:rsidRDefault="00BA62DF" w:rsidP="007764C3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>Консервативный вариант прогноза рассматривает развитие российской промышленности минеральных удобрений в условиях более жесткой конкурентной борьбы. Такая ситуация может сложиться в случае низкой динамики цен на сырьевую конъюнктуру (природный газ, являющейся основным сырьем для производства данного вида товара), а также минимальных количеств отсроченных вводов новых мощностей (восстановление баланса спроса и предложения на мировом рынке можно ожидать в период 2018–2019 гг.). В сложных экономических условиях также вероятно снижение потенциала роста внутреннего рынка.</w:t>
      </w:r>
    </w:p>
    <w:p w:rsidR="00BA62DF" w:rsidRPr="00745847" w:rsidRDefault="00BA62DF" w:rsidP="00BA62DF">
      <w:pPr>
        <w:widowControl w:val="0"/>
        <w:ind w:right="-2"/>
        <w:contextualSpacing/>
        <w:jc w:val="center"/>
        <w:rPr>
          <w:lang w:eastAsia="ar-SA"/>
        </w:rPr>
      </w:pPr>
      <w:r w:rsidRPr="00745847">
        <w:rPr>
          <w:rFonts w:eastAsia="Arial Unicode MS"/>
        </w:rPr>
        <w:t xml:space="preserve">Таблица </w:t>
      </w:r>
      <w:r w:rsidR="003D6255" w:rsidRPr="00745847">
        <w:rPr>
          <w:rFonts w:eastAsia="Arial Unicode MS"/>
        </w:rPr>
        <w:t>7</w:t>
      </w:r>
      <w:r w:rsidRPr="00745847">
        <w:rPr>
          <w:rFonts w:eastAsia="Arial Unicode MS"/>
        </w:rPr>
        <w:t xml:space="preserve">. </w:t>
      </w:r>
      <w:r w:rsidRPr="00745847">
        <w:rPr>
          <w:lang w:eastAsia="ar-SA"/>
        </w:rPr>
        <w:t xml:space="preserve">Прогноз основных показателей российского рынка минеральных удобрений, </w:t>
      </w:r>
    </w:p>
    <w:p w:rsidR="00BA62DF" w:rsidRPr="00745847" w:rsidRDefault="00BA62DF" w:rsidP="00BA62DF">
      <w:pPr>
        <w:widowControl w:val="0"/>
        <w:ind w:right="-2"/>
        <w:contextualSpacing/>
        <w:jc w:val="center"/>
        <w:rPr>
          <w:lang w:eastAsia="ar-SA"/>
        </w:rPr>
      </w:pPr>
      <w:r w:rsidRPr="00745847">
        <w:rPr>
          <w:lang w:eastAsia="ar-SA"/>
        </w:rPr>
        <w:t>млн. тонн (консервативный сценарий)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7"/>
        <w:gridCol w:w="840"/>
        <w:gridCol w:w="844"/>
        <w:gridCol w:w="918"/>
        <w:gridCol w:w="923"/>
        <w:gridCol w:w="933"/>
        <w:gridCol w:w="1203"/>
      </w:tblGrid>
      <w:tr w:rsidR="00745847" w:rsidRPr="00745847" w:rsidTr="006240C2">
        <w:trPr>
          <w:trHeight w:hRule="exact" w:val="683"/>
        </w:trPr>
        <w:tc>
          <w:tcPr>
            <w:tcW w:w="2069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lef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Удобрения в пересчете на 100 % питательных веществ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2014 г.</w:t>
            </w:r>
          </w:p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факт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2015 г.</w:t>
            </w:r>
          </w:p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оценка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2016 г.</w:t>
            </w:r>
          </w:p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2017 г.</w:t>
            </w:r>
          </w:p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2018 г.</w:t>
            </w:r>
          </w:p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прогноз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Изменение 2014–2018 гг., +/-</w:t>
            </w:r>
          </w:p>
        </w:tc>
      </w:tr>
      <w:tr w:rsidR="00BA62DF" w:rsidRPr="00745847" w:rsidTr="00D51067">
        <w:trPr>
          <w:trHeight w:hRule="exact" w:val="212"/>
        </w:trPr>
        <w:tc>
          <w:tcPr>
            <w:tcW w:w="2069" w:type="pct"/>
            <w:shd w:val="clear" w:color="auto" w:fill="FFFFFF"/>
            <w:vAlign w:val="bottom"/>
          </w:tcPr>
          <w:p w:rsidR="00BA62DF" w:rsidRPr="00745847" w:rsidRDefault="00BA62DF" w:rsidP="00BA62DF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Производство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19,6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19,5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19,9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20,0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20,5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0,9</w:t>
            </w:r>
          </w:p>
        </w:tc>
      </w:tr>
      <w:tr w:rsidR="00BA62DF" w:rsidRPr="00745847" w:rsidTr="00D51067">
        <w:trPr>
          <w:trHeight w:hRule="exact" w:val="271"/>
        </w:trPr>
        <w:tc>
          <w:tcPr>
            <w:tcW w:w="2069" w:type="pct"/>
            <w:shd w:val="clear" w:color="auto" w:fill="FFFFFF"/>
            <w:vAlign w:val="bottom"/>
          </w:tcPr>
          <w:p w:rsidR="00BA62DF" w:rsidRPr="00745847" w:rsidRDefault="00BA62DF" w:rsidP="00BA62DF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Экспорт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14,3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14,5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14,3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14,2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14,6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0,3</w:t>
            </w:r>
          </w:p>
        </w:tc>
      </w:tr>
      <w:tr w:rsidR="00BA62DF" w:rsidRPr="00745847" w:rsidTr="00D51067">
        <w:trPr>
          <w:trHeight w:hRule="exact" w:val="278"/>
        </w:trPr>
        <w:tc>
          <w:tcPr>
            <w:tcW w:w="2069" w:type="pct"/>
            <w:shd w:val="clear" w:color="auto" w:fill="FFFFFF"/>
            <w:vAlign w:val="bottom"/>
          </w:tcPr>
          <w:p w:rsidR="00BA62DF" w:rsidRPr="00745847" w:rsidRDefault="00BA62DF" w:rsidP="00BA62DF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Потребление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5,8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5,9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0,6</w:t>
            </w:r>
          </w:p>
        </w:tc>
      </w:tr>
      <w:tr w:rsidR="00BA62DF" w:rsidRPr="00745847" w:rsidTr="00D51067">
        <w:trPr>
          <w:trHeight w:hRule="exact" w:val="239"/>
        </w:trPr>
        <w:tc>
          <w:tcPr>
            <w:tcW w:w="2069" w:type="pct"/>
            <w:shd w:val="clear" w:color="auto" w:fill="FFFFFF"/>
            <w:vAlign w:val="bottom"/>
          </w:tcPr>
          <w:p w:rsidR="00BA62DF" w:rsidRPr="00745847" w:rsidRDefault="00BA62DF" w:rsidP="00BA62DF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Доля экспорта в производстве, %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74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72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71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-2</w:t>
            </w:r>
          </w:p>
        </w:tc>
      </w:tr>
      <w:tr w:rsidR="00BA62DF" w:rsidRPr="00745847" w:rsidTr="00F218CD">
        <w:trPr>
          <w:trHeight w:hRule="exact" w:val="346"/>
        </w:trPr>
        <w:tc>
          <w:tcPr>
            <w:tcW w:w="2069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left="120"/>
              <w:contextualSpacing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Доля импорта в потреблении, %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eastAsia="en-US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&lt;1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A62DF" w:rsidRPr="00745847" w:rsidRDefault="00BA62DF" w:rsidP="00BA62DF">
            <w:pPr>
              <w:widowControl w:val="0"/>
              <w:ind w:right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z w:val="18"/>
                <w:szCs w:val="18"/>
                <w:lang w:bidi="ru-RU"/>
              </w:rPr>
              <w:t>х</w:t>
            </w:r>
          </w:p>
        </w:tc>
      </w:tr>
      <w:tr w:rsidR="00BA62DF" w:rsidRPr="00745847" w:rsidTr="00D51067">
        <w:trPr>
          <w:trHeight w:hRule="exact" w:val="25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BA62DF" w:rsidRPr="00745847" w:rsidRDefault="00BA62DF" w:rsidP="00745847">
            <w:pPr>
              <w:widowControl w:val="0"/>
              <w:ind w:left="142" w:right="12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bidi="ru-RU"/>
              </w:rPr>
            </w:pP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 xml:space="preserve">Источник: </w:t>
            </w:r>
            <w:r w:rsidRP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[</w:t>
            </w:r>
            <w:r w:rsidR="00745847"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3</w:t>
            </w:r>
            <w:r w:rsid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, с. 48</w:t>
            </w:r>
            <w:r w:rsidRPr="00B659E3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]</w:t>
            </w:r>
            <w:r w:rsidRPr="00745847">
              <w:rPr>
                <w:rFonts w:ascii="Arial" w:eastAsia="Calibri" w:hAnsi="Arial" w:cs="Arial"/>
                <w:spacing w:val="1"/>
                <w:sz w:val="18"/>
                <w:szCs w:val="18"/>
                <w:lang w:bidi="ru-RU"/>
              </w:rPr>
              <w:t>.</w:t>
            </w:r>
          </w:p>
        </w:tc>
      </w:tr>
    </w:tbl>
    <w:p w:rsidR="00004805" w:rsidRPr="00745847" w:rsidRDefault="00004805" w:rsidP="00BA62DF">
      <w:pPr>
        <w:widowControl w:val="0"/>
        <w:ind w:right="-2" w:firstLine="567"/>
        <w:contextualSpacing/>
        <w:jc w:val="both"/>
        <w:rPr>
          <w:lang w:eastAsia="ar-SA"/>
        </w:rPr>
      </w:pPr>
    </w:p>
    <w:p w:rsidR="00BA62DF" w:rsidRPr="00745847" w:rsidRDefault="00BA62DF" w:rsidP="007764C3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lastRenderedPageBreak/>
        <w:t>Таким образом, государственная политика в сфере агропромышленного комплекса является ключевым фактором, определяющим спрос на минеральные удобрения на внутреннем рынке. Ранее одним из важнейших инструментов поддержки АПК в области обеспечения удобрениями были субсидии. После вступления России в ВТО произошли существенные изменения в инструментах поддержки российских сельхозпроизводителей и механизмах регулирования рынка: цена на удобрения должна была сравняться с минимальной экспортной ценой (рассчитывается поквартально) [</w:t>
      </w:r>
      <w:r w:rsidR="00745847" w:rsidRPr="00745847">
        <w:rPr>
          <w:lang w:eastAsia="ar-SA"/>
        </w:rPr>
        <w:t>3</w:t>
      </w:r>
      <w:r w:rsidR="00B659E3">
        <w:rPr>
          <w:lang w:eastAsia="ar-SA"/>
        </w:rPr>
        <w:t>, с. 52</w:t>
      </w:r>
      <w:r w:rsidRPr="00745847">
        <w:rPr>
          <w:lang w:eastAsia="ar-SA"/>
        </w:rPr>
        <w:t xml:space="preserve">]. А субсидии, предоставляемые АПК на приобретение удобрений были заменены единой погектарной выплатой. </w:t>
      </w:r>
    </w:p>
    <w:p w:rsidR="00BA62DF" w:rsidRPr="00745847" w:rsidRDefault="00BA62DF" w:rsidP="007764C3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Следовательно, развитие внутреннего рынка минеральных удобрений будет зависеть в первую очередь от решений </w:t>
      </w:r>
      <w:proofErr w:type="spellStart"/>
      <w:r w:rsidRPr="00745847">
        <w:rPr>
          <w:lang w:eastAsia="ar-SA"/>
        </w:rPr>
        <w:t>Минпромторга</w:t>
      </w:r>
      <w:proofErr w:type="spellEnd"/>
      <w:r w:rsidRPr="00745847">
        <w:rPr>
          <w:lang w:eastAsia="ar-SA"/>
        </w:rPr>
        <w:t>, Минсельхоза, ФАС, Госдумы, федеральных органов власти и отраслевых союзов по решению вопросов ценообразования. При этом ограниченная емкость внутреннего рынка и определяет экспортную ориентацию российских производителей минеральных удобрений.</w:t>
      </w:r>
    </w:p>
    <w:p w:rsidR="00BA62DF" w:rsidRPr="00745847" w:rsidRDefault="00BA62DF" w:rsidP="007764C3">
      <w:pPr>
        <w:widowControl w:val="0"/>
        <w:ind w:right="-2" w:firstLine="709"/>
        <w:contextualSpacing/>
        <w:jc w:val="both"/>
        <w:rPr>
          <w:lang w:eastAsia="ar-SA"/>
        </w:rPr>
      </w:pPr>
      <w:r w:rsidRPr="00745847">
        <w:rPr>
          <w:lang w:eastAsia="ar-SA"/>
        </w:rPr>
        <w:t xml:space="preserve">Подводя итог, стоит отметить, что дальнейшее развитие отрасли минеральных удобрений зависит как от активизации процессов импортозамещения </w:t>
      </w:r>
      <w:r w:rsidRPr="00745847">
        <w:t xml:space="preserve">в условиях санкций и </w:t>
      </w:r>
      <w:proofErr w:type="spellStart"/>
      <w:r w:rsidRPr="00745847">
        <w:t>антисанкций</w:t>
      </w:r>
      <w:proofErr w:type="spellEnd"/>
      <w:r w:rsidRPr="00745847">
        <w:t xml:space="preserve">, </w:t>
      </w:r>
      <w:r w:rsidRPr="00745847">
        <w:rPr>
          <w:lang w:eastAsia="ar-SA"/>
        </w:rPr>
        <w:t>роста внутреннего спроса, так и от сохранения отечественными производителями устойчивых позиций на мировом рынке.</w:t>
      </w:r>
    </w:p>
    <w:p w:rsidR="00BA62DF" w:rsidRPr="00745847" w:rsidRDefault="00BA62DF" w:rsidP="00BA62DF">
      <w:pPr>
        <w:widowControl w:val="0"/>
        <w:ind w:right="-2" w:firstLine="567"/>
        <w:contextualSpacing/>
        <w:jc w:val="both"/>
        <w:rPr>
          <w:lang w:eastAsia="ar-SA"/>
        </w:rPr>
      </w:pPr>
    </w:p>
    <w:p w:rsidR="00BA62DF" w:rsidRPr="00745847" w:rsidRDefault="00BA62DF" w:rsidP="00BA62DF">
      <w:pPr>
        <w:tabs>
          <w:tab w:val="num" w:pos="851"/>
          <w:tab w:val="left" w:pos="993"/>
        </w:tabs>
        <w:contextualSpacing/>
        <w:jc w:val="center"/>
        <w:rPr>
          <w:rFonts w:eastAsia="Calibri"/>
          <w:b/>
          <w:lang w:eastAsia="en-US" w:bidi="he-IL"/>
        </w:rPr>
      </w:pPr>
      <w:r w:rsidRPr="00745847">
        <w:rPr>
          <w:rFonts w:eastAsia="Calibri"/>
          <w:b/>
          <w:lang w:eastAsia="en-US" w:bidi="he-IL"/>
        </w:rPr>
        <w:t>Литература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BA62DF" w:rsidRPr="00745847">
        <w:rPr>
          <w:rFonts w:eastAsia="Calibri"/>
          <w:lang w:eastAsia="en-US"/>
        </w:rPr>
        <w:t>Анализ сырьевых рынков. Минеральные удобрения [Электронный ресурс]. – Режим доступа: http://smart-lab.ru/blog/219863.php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BA62DF" w:rsidRPr="00745847">
        <w:rPr>
          <w:rFonts w:eastAsia="Calibri"/>
          <w:lang w:eastAsia="en-US"/>
        </w:rPr>
        <w:t xml:space="preserve">Барабанов, А. Социальная ответственность бизнеса и развитие территорий / А. Барабанов, Е. Разгулина // Проблемы теории и практики управления. – 2013. – № 5. – </w:t>
      </w:r>
      <w:r w:rsidR="00BA62DF" w:rsidRPr="00745847">
        <w:rPr>
          <w:rFonts w:eastAsia="Calibri"/>
          <w:lang w:val="en-US" w:eastAsia="en-US"/>
        </w:rPr>
        <w:t>C</w:t>
      </w:r>
      <w:r w:rsidR="00BA62DF" w:rsidRPr="00745847">
        <w:rPr>
          <w:rFonts w:eastAsia="Calibri"/>
          <w:lang w:eastAsia="en-US"/>
        </w:rPr>
        <w:t>. 73-81.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BA62DF" w:rsidRPr="00745847">
        <w:rPr>
          <w:rFonts w:eastAsia="Calibri"/>
          <w:lang w:eastAsia="en-US"/>
        </w:rPr>
        <w:t>Волкова, А.В. Рынок минеральных удобрений / А.В. Волкова // Национальный исследовательский институт. Высшая школа экономики. – 2015. – 67 с.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BA62DF" w:rsidRPr="00745847">
        <w:rPr>
          <w:rFonts w:eastAsia="Calibri"/>
          <w:lang w:eastAsia="en-US"/>
        </w:rPr>
        <w:t>Данилов-</w:t>
      </w:r>
      <w:proofErr w:type="spellStart"/>
      <w:r w:rsidR="00BA62DF" w:rsidRPr="00745847">
        <w:rPr>
          <w:rFonts w:eastAsia="Calibri"/>
          <w:lang w:eastAsia="en-US"/>
        </w:rPr>
        <w:t>Данильян</w:t>
      </w:r>
      <w:proofErr w:type="spellEnd"/>
      <w:r w:rsidR="00BA62DF" w:rsidRPr="00745847">
        <w:rPr>
          <w:rFonts w:eastAsia="Calibri"/>
          <w:lang w:eastAsia="en-US"/>
        </w:rPr>
        <w:t>, В.И. Отрасль минеральных удобрений: посткризисное развитие [Электронный ресурс] // Российская газета. Федеральный выпуск. – №5251 (172). – Режим доступа: http://www.rg.ru/2010/08/05/mineraly.html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BA62DF" w:rsidRPr="00745847">
        <w:rPr>
          <w:rFonts w:eastAsia="Calibri"/>
          <w:lang w:eastAsia="en-US"/>
        </w:rPr>
        <w:t>Копытова, Е.Д. Деятельность предприятий-производителей минеральных удобрений в экономике России / Е.Д. Копытова // Известия ВУЗов. Серия «Экономика, финансы и управление производством». – 2016. – № 01(27). – С. 52-61.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BA62DF" w:rsidRPr="00745847">
        <w:rPr>
          <w:rFonts w:eastAsia="Calibri"/>
          <w:lang w:eastAsia="en-US"/>
        </w:rPr>
        <w:t>Особенности формирования и развития конкурентоспособных производств химической промышленности России (на примере производства минеральных удобрений) [Электронный ресурс]. – Режим доступа: http://www.e-rej.ru/Articles/2011/Vorobyev.pdf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BA62DF" w:rsidRPr="00745847">
        <w:rPr>
          <w:rFonts w:eastAsia="Calibri"/>
          <w:lang w:eastAsia="en-US"/>
        </w:rPr>
        <w:t>Разгулина, Е.Д. Оценка влияния крупнейших предприятий на социально-экономическое развитие территорий / Е.Д. Разгулина // Экономические и социальные перемены: факты, тенденции, прогноз. – 2014. – № 3 (33). – С. 223-234.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BA62DF" w:rsidRPr="00745847">
        <w:rPr>
          <w:rFonts w:eastAsia="Calibri"/>
          <w:lang w:eastAsia="en-US"/>
        </w:rPr>
        <w:t>Чернышев, А. Предложение опережает спрос [Электронный ресурс] / А. Чернышев // Официальный сайт Центра экономического прогнозирования Газпромбанка. – Режим доступа: http://rbcdaily.ru/addition/article/562949992658986</w:t>
      </w:r>
    </w:p>
    <w:p w:rsidR="00BA62DF" w:rsidRPr="00745847" w:rsidRDefault="007764C3" w:rsidP="007764C3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="00BA62DF" w:rsidRPr="00745847">
        <w:rPr>
          <w:rFonts w:eastAsia="Calibri"/>
          <w:lang w:eastAsia="en-US"/>
        </w:rPr>
        <w:t xml:space="preserve">Эффективность химизации народного хозяйства [Текст]: монография /  Н.Н. Баранов, Л.С. Брагина, А.Н. Васильев, Д.А. Герасименко, Л.И. Кошкин, И.Е. Кричевский, И.В. </w:t>
      </w:r>
      <w:proofErr w:type="spellStart"/>
      <w:r w:rsidR="00BA62DF" w:rsidRPr="00745847">
        <w:rPr>
          <w:rFonts w:eastAsia="Calibri"/>
          <w:lang w:eastAsia="en-US"/>
        </w:rPr>
        <w:t>Рахлин</w:t>
      </w:r>
      <w:proofErr w:type="spellEnd"/>
      <w:r w:rsidR="00BA62DF" w:rsidRPr="00745847">
        <w:rPr>
          <w:rFonts w:eastAsia="Calibri"/>
          <w:lang w:eastAsia="en-US"/>
        </w:rPr>
        <w:t xml:space="preserve">, И.Н. </w:t>
      </w:r>
      <w:proofErr w:type="spellStart"/>
      <w:r w:rsidR="00BA62DF" w:rsidRPr="00745847">
        <w:rPr>
          <w:rFonts w:eastAsia="Calibri"/>
          <w:lang w:eastAsia="en-US"/>
        </w:rPr>
        <w:t>Рейтман</w:t>
      </w:r>
      <w:proofErr w:type="spellEnd"/>
      <w:r w:rsidR="00BA62DF" w:rsidRPr="00745847">
        <w:rPr>
          <w:rFonts w:eastAsia="Calibri"/>
          <w:lang w:eastAsia="en-US"/>
        </w:rPr>
        <w:t xml:space="preserve">, Э.С. Савинский, Н.А. Сидорова, Л.П. Соболь, Н.С. Фомина; под ред. д-ра </w:t>
      </w:r>
      <w:proofErr w:type="spellStart"/>
      <w:r w:rsidR="00BA62DF" w:rsidRPr="00745847">
        <w:rPr>
          <w:rFonts w:eastAsia="Calibri"/>
          <w:lang w:eastAsia="en-US"/>
        </w:rPr>
        <w:t>экон</w:t>
      </w:r>
      <w:proofErr w:type="spellEnd"/>
      <w:r w:rsidR="00BA62DF" w:rsidRPr="00745847">
        <w:rPr>
          <w:rFonts w:eastAsia="Calibri"/>
          <w:lang w:eastAsia="en-US"/>
        </w:rPr>
        <w:t>. наук Э. С. Савинского. – М.: Химия, 1997 . – 220 с.</w:t>
      </w:r>
    </w:p>
    <w:p w:rsidR="00BA62DF" w:rsidRPr="00BA62DF" w:rsidRDefault="00BA62DF" w:rsidP="006366DD">
      <w:pPr>
        <w:tabs>
          <w:tab w:val="left" w:pos="993"/>
          <w:tab w:val="left" w:pos="1134"/>
        </w:tabs>
        <w:ind w:firstLine="709"/>
        <w:contextualSpacing/>
        <w:jc w:val="both"/>
      </w:pPr>
    </w:p>
    <w:p w:rsidR="00BC571B" w:rsidRPr="00BC571B" w:rsidRDefault="00BC571B" w:rsidP="00BC571B">
      <w:pPr>
        <w:ind w:firstLine="709"/>
        <w:jc w:val="both"/>
      </w:pPr>
      <w:r w:rsidRPr="00BC571B">
        <w:t>Копытова Екатерина Дмитриевна</w:t>
      </w:r>
      <w:r>
        <w:t xml:space="preserve"> (</w:t>
      </w:r>
      <w:r w:rsidR="007829C7">
        <w:t>РФ</w:t>
      </w:r>
      <w:r>
        <w:t xml:space="preserve">, г. Вологда) – </w:t>
      </w:r>
      <w:r w:rsidR="006366DD">
        <w:t xml:space="preserve">кандидат экономических наук, </w:t>
      </w:r>
      <w:r>
        <w:t xml:space="preserve">младший научный сотрудник, Институт социально-экономического развития территорий РАН, </w:t>
      </w:r>
      <w:proofErr w:type="spellStart"/>
      <w:r>
        <w:rPr>
          <w:lang w:val="en-US"/>
        </w:rPr>
        <w:t>ekaterina</w:t>
      </w:r>
      <w:proofErr w:type="spellEnd"/>
      <w:r w:rsidRPr="00BC571B">
        <w:t>-</w:t>
      </w:r>
      <w:proofErr w:type="spellStart"/>
      <w:r>
        <w:rPr>
          <w:lang w:val="en-US"/>
        </w:rPr>
        <w:t>razgylina</w:t>
      </w:r>
      <w:proofErr w:type="spellEnd"/>
      <w:r w:rsidRPr="00BC571B">
        <w:t>@</w:t>
      </w:r>
      <w:proofErr w:type="spellStart"/>
      <w:r>
        <w:rPr>
          <w:lang w:val="en-US"/>
        </w:rPr>
        <w:t>yandex</w:t>
      </w:r>
      <w:proofErr w:type="spellEnd"/>
      <w:r w:rsidRPr="00BC571B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C571B" w:rsidRDefault="00BC571B" w:rsidP="000D6C49">
      <w:pPr>
        <w:jc w:val="center"/>
        <w:rPr>
          <w:b/>
        </w:rPr>
      </w:pPr>
    </w:p>
    <w:p w:rsidR="00BC571B" w:rsidRPr="007764C3" w:rsidRDefault="00BC571B" w:rsidP="000D6C49">
      <w:pPr>
        <w:jc w:val="right"/>
        <w:rPr>
          <w:rFonts w:eastAsia="Calibri"/>
          <w:b/>
          <w:lang w:val="en-US" w:eastAsia="en-US"/>
        </w:rPr>
      </w:pPr>
      <w:proofErr w:type="spellStart"/>
      <w:r w:rsidRPr="000E13C6">
        <w:rPr>
          <w:rFonts w:eastAsia="Calibri"/>
          <w:b/>
          <w:lang w:val="en-US" w:eastAsia="en-US"/>
        </w:rPr>
        <w:t>Kopytova</w:t>
      </w:r>
      <w:proofErr w:type="spellEnd"/>
      <w:r w:rsidRPr="007764C3">
        <w:rPr>
          <w:rFonts w:eastAsia="Calibri"/>
          <w:b/>
          <w:lang w:val="en-US" w:eastAsia="en-US"/>
        </w:rPr>
        <w:t xml:space="preserve"> </w:t>
      </w:r>
      <w:r w:rsidRPr="000E13C6">
        <w:rPr>
          <w:rFonts w:eastAsia="Calibri"/>
          <w:b/>
          <w:lang w:val="en-US" w:eastAsia="en-US"/>
        </w:rPr>
        <w:t>Ekaterina</w:t>
      </w:r>
      <w:r w:rsidRPr="007764C3">
        <w:rPr>
          <w:rFonts w:eastAsia="Calibri"/>
          <w:b/>
          <w:lang w:val="en-US" w:eastAsia="en-US"/>
        </w:rPr>
        <w:t xml:space="preserve"> </w:t>
      </w:r>
      <w:proofErr w:type="spellStart"/>
      <w:r w:rsidRPr="000E13C6">
        <w:rPr>
          <w:rFonts w:eastAsia="Calibri"/>
          <w:b/>
          <w:lang w:val="en-US" w:eastAsia="en-US"/>
        </w:rPr>
        <w:t>Dmitrievna</w:t>
      </w:r>
      <w:proofErr w:type="spellEnd"/>
    </w:p>
    <w:p w:rsidR="00BC571B" w:rsidRPr="007764C3" w:rsidRDefault="00BC571B" w:rsidP="000D6C49">
      <w:pPr>
        <w:jc w:val="right"/>
        <w:rPr>
          <w:rFonts w:eastAsia="Calibri"/>
          <w:b/>
          <w:lang w:val="en-US" w:eastAsia="en-US"/>
        </w:rPr>
      </w:pPr>
    </w:p>
    <w:p w:rsidR="007829C7" w:rsidRPr="007764C3" w:rsidRDefault="00745847" w:rsidP="007829C7">
      <w:pPr>
        <w:jc w:val="center"/>
        <w:rPr>
          <w:rFonts w:eastAsia="Calibri"/>
          <w:b/>
          <w:lang w:val="en-US" w:eastAsia="en-US"/>
        </w:rPr>
      </w:pPr>
      <w:r w:rsidRPr="00745847">
        <w:rPr>
          <w:rFonts w:eastAsia="Calibri"/>
          <w:b/>
          <w:lang w:val="en-US" w:eastAsia="en-US"/>
        </w:rPr>
        <w:t>MODERN STATE, PROBLEMS AND PROSPECTS OF DEVELOPMENT OF RUSSIAN CHEMICAL INDUSTRY</w:t>
      </w:r>
    </w:p>
    <w:p w:rsidR="00745847" w:rsidRPr="007764C3" w:rsidRDefault="00745847" w:rsidP="007829C7">
      <w:pPr>
        <w:jc w:val="center"/>
        <w:rPr>
          <w:b/>
          <w:lang w:val="en-US"/>
        </w:rPr>
      </w:pPr>
    </w:p>
    <w:p w:rsidR="00D26446" w:rsidRPr="00745847" w:rsidRDefault="007829C7" w:rsidP="000D6C49">
      <w:pPr>
        <w:ind w:firstLine="709"/>
        <w:jc w:val="both"/>
        <w:rPr>
          <w:i/>
          <w:lang w:val="en-US"/>
        </w:rPr>
      </w:pPr>
      <w:r w:rsidRPr="00745847">
        <w:rPr>
          <w:b/>
          <w:lang w:val="en-US"/>
        </w:rPr>
        <w:t>Annotation</w:t>
      </w:r>
      <w:r w:rsidR="002F2931" w:rsidRPr="00745847">
        <w:rPr>
          <w:b/>
          <w:lang w:val="en-US"/>
        </w:rPr>
        <w:t xml:space="preserve">: </w:t>
      </w:r>
      <w:r w:rsidR="00745847" w:rsidRPr="00745847">
        <w:rPr>
          <w:lang w:val="en-US"/>
        </w:rPr>
        <w:t>In this work the analysis of one of the basic chemical industries – mineral fertilizers. Presents a forecast of basic indicators of development of this sector. It is concluded that it is necessary to stimulate domestic demand through the support of agricultural producers.</w:t>
      </w:r>
    </w:p>
    <w:p w:rsidR="007829C7" w:rsidRPr="00745847" w:rsidRDefault="007829C7" w:rsidP="000D6C49">
      <w:pPr>
        <w:ind w:firstLine="709"/>
        <w:jc w:val="both"/>
        <w:rPr>
          <w:b/>
          <w:lang w:val="en-US"/>
        </w:rPr>
      </w:pPr>
    </w:p>
    <w:p w:rsidR="00D26446" w:rsidRPr="00745847" w:rsidRDefault="007829C7" w:rsidP="000D6C49">
      <w:pPr>
        <w:ind w:firstLine="709"/>
        <w:jc w:val="both"/>
        <w:rPr>
          <w:lang w:val="en-US"/>
        </w:rPr>
      </w:pPr>
      <w:r w:rsidRPr="00745847">
        <w:rPr>
          <w:b/>
          <w:lang w:val="en-US"/>
        </w:rPr>
        <w:t>Key words</w:t>
      </w:r>
      <w:r w:rsidR="0020241B" w:rsidRPr="00745847">
        <w:rPr>
          <w:b/>
          <w:lang w:val="en-US"/>
        </w:rPr>
        <w:t xml:space="preserve">: </w:t>
      </w:r>
      <w:r w:rsidR="00745847" w:rsidRPr="00745847">
        <w:rPr>
          <w:lang w:val="en-US"/>
        </w:rPr>
        <w:t>chemical industry, fertilizers, region, development authorities.</w:t>
      </w:r>
    </w:p>
    <w:p w:rsidR="007829C7" w:rsidRPr="00745847" w:rsidRDefault="007829C7" w:rsidP="000D6C49">
      <w:pPr>
        <w:ind w:firstLine="709"/>
        <w:jc w:val="both"/>
        <w:rPr>
          <w:i/>
          <w:lang w:val="en-US"/>
        </w:rPr>
      </w:pPr>
    </w:p>
    <w:p w:rsidR="00C05805" w:rsidRPr="00745847" w:rsidRDefault="00C05805" w:rsidP="00516252">
      <w:pPr>
        <w:ind w:firstLine="709"/>
        <w:jc w:val="both"/>
        <w:rPr>
          <w:lang w:val="en-US"/>
        </w:rPr>
      </w:pPr>
      <w:proofErr w:type="spellStart"/>
      <w:r w:rsidRPr="00745847">
        <w:rPr>
          <w:lang w:val="en-US"/>
        </w:rPr>
        <w:t>Kopytova</w:t>
      </w:r>
      <w:proofErr w:type="spellEnd"/>
      <w:r w:rsidRPr="00745847">
        <w:rPr>
          <w:lang w:val="en-US"/>
        </w:rPr>
        <w:t xml:space="preserve"> Ekaterina </w:t>
      </w:r>
      <w:proofErr w:type="spellStart"/>
      <w:r w:rsidRPr="00745847">
        <w:rPr>
          <w:lang w:val="en-US"/>
        </w:rPr>
        <w:t>Dmitrievna</w:t>
      </w:r>
      <w:proofErr w:type="spellEnd"/>
      <w:r w:rsidRPr="00745847">
        <w:rPr>
          <w:lang w:val="en-US"/>
        </w:rPr>
        <w:t xml:space="preserve"> (Russian Federation, Vologda) – </w:t>
      </w:r>
      <w:r w:rsidR="00745847" w:rsidRPr="00745847">
        <w:rPr>
          <w:lang w:val="en-US"/>
        </w:rPr>
        <w:t xml:space="preserve">Ph.D. in Economics,  </w:t>
      </w:r>
      <w:r w:rsidRPr="00745847">
        <w:rPr>
          <w:lang w:val="en-US"/>
        </w:rPr>
        <w:t>junior scientific associate, Institute of Socio-Economic Develop</w:t>
      </w:r>
      <w:r w:rsidR="00516252" w:rsidRPr="00745847">
        <w:rPr>
          <w:lang w:val="en-US"/>
        </w:rPr>
        <w:t xml:space="preserve">ment of Territories of the RAS, </w:t>
      </w:r>
      <w:r w:rsidRPr="00745847">
        <w:rPr>
          <w:lang w:val="en-US"/>
        </w:rPr>
        <w:t>ekaterina-razgylina@yandex.ru</w:t>
      </w:r>
    </w:p>
    <w:p w:rsidR="00C05805" w:rsidRPr="00745847" w:rsidRDefault="00C05805" w:rsidP="00C05805">
      <w:pPr>
        <w:ind w:firstLine="709"/>
        <w:jc w:val="both"/>
        <w:rPr>
          <w:lang w:val="en-US"/>
        </w:rPr>
      </w:pPr>
    </w:p>
    <w:p w:rsidR="00364DD1" w:rsidRPr="00745847" w:rsidRDefault="00364DD1" w:rsidP="00364DD1">
      <w:pPr>
        <w:tabs>
          <w:tab w:val="left" w:pos="993"/>
        </w:tabs>
        <w:contextualSpacing/>
        <w:jc w:val="center"/>
        <w:rPr>
          <w:rFonts w:eastAsia="Calibri"/>
          <w:b/>
          <w:lang w:val="en-US" w:eastAsia="en-US"/>
        </w:rPr>
      </w:pPr>
      <w:r w:rsidRPr="00745847">
        <w:rPr>
          <w:rFonts w:eastAsia="Calibri"/>
          <w:b/>
          <w:lang w:val="en-US" w:eastAsia="en-US"/>
        </w:rPr>
        <w:t>References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>1. Analysis of commodity markets. Mineral fertilizers [Electronic resource]. – Mode of access: http://smart-lab.ru/blog/219863.php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 xml:space="preserve">2. </w:t>
      </w:r>
      <w:proofErr w:type="spellStart"/>
      <w:r w:rsidRPr="00745847">
        <w:rPr>
          <w:rFonts w:eastAsia="Calibri"/>
          <w:lang w:val="en-US" w:eastAsia="en-US"/>
        </w:rPr>
        <w:t>Barabanov</w:t>
      </w:r>
      <w:proofErr w:type="spellEnd"/>
      <w:r w:rsidRPr="00745847">
        <w:rPr>
          <w:rFonts w:eastAsia="Calibri"/>
          <w:lang w:val="en-US" w:eastAsia="en-US"/>
        </w:rPr>
        <w:t xml:space="preserve">, A. the Social responsibility of business and development of the territories / A. </w:t>
      </w:r>
      <w:proofErr w:type="spellStart"/>
      <w:r w:rsidRPr="00745847">
        <w:rPr>
          <w:rFonts w:eastAsia="Calibri"/>
          <w:lang w:val="en-US" w:eastAsia="en-US"/>
        </w:rPr>
        <w:t>Barabanov</w:t>
      </w:r>
      <w:proofErr w:type="spellEnd"/>
      <w:r w:rsidRPr="00745847">
        <w:rPr>
          <w:rFonts w:eastAsia="Calibri"/>
          <w:lang w:val="en-US" w:eastAsia="en-US"/>
        </w:rPr>
        <w:t xml:space="preserve">, E. </w:t>
      </w:r>
      <w:proofErr w:type="spellStart"/>
      <w:r w:rsidRPr="00745847">
        <w:rPr>
          <w:rFonts w:eastAsia="Calibri"/>
          <w:lang w:val="en-US" w:eastAsia="en-US"/>
        </w:rPr>
        <w:t>Razgulina</w:t>
      </w:r>
      <w:proofErr w:type="spellEnd"/>
      <w:r w:rsidRPr="00745847">
        <w:rPr>
          <w:rFonts w:eastAsia="Calibri"/>
          <w:lang w:val="en-US" w:eastAsia="en-US"/>
        </w:rPr>
        <w:t xml:space="preserve"> // problems of the theory and practice of management. – 2013. – </w:t>
      </w:r>
      <w:r w:rsidR="001065F0" w:rsidRPr="001065F0">
        <w:rPr>
          <w:rFonts w:eastAsia="Calibri"/>
          <w:lang w:val="en-US" w:eastAsia="en-US"/>
        </w:rPr>
        <w:t>№</w:t>
      </w:r>
      <w:r w:rsidRPr="00745847">
        <w:rPr>
          <w:rFonts w:eastAsia="Calibri"/>
          <w:lang w:val="en-US" w:eastAsia="en-US"/>
        </w:rPr>
        <w:t>. 5. – C. 73-81.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 xml:space="preserve">3. </w:t>
      </w:r>
      <w:proofErr w:type="spellStart"/>
      <w:r w:rsidRPr="00745847">
        <w:rPr>
          <w:rFonts w:eastAsia="Calibri"/>
          <w:lang w:val="en-US" w:eastAsia="en-US"/>
        </w:rPr>
        <w:t>Volkov</w:t>
      </w:r>
      <w:proofErr w:type="spellEnd"/>
      <w:r w:rsidRPr="00745847">
        <w:rPr>
          <w:rFonts w:eastAsia="Calibri"/>
          <w:lang w:val="en-US" w:eastAsia="en-US"/>
        </w:rPr>
        <w:t xml:space="preserve">, A.V. the Market of mineral fertilizers / A. </w:t>
      </w:r>
      <w:proofErr w:type="spellStart"/>
      <w:r w:rsidRPr="00745847">
        <w:rPr>
          <w:rFonts w:eastAsia="Calibri"/>
          <w:lang w:val="en-US" w:eastAsia="en-US"/>
        </w:rPr>
        <w:t>Volkov</w:t>
      </w:r>
      <w:proofErr w:type="spellEnd"/>
      <w:r w:rsidRPr="00745847">
        <w:rPr>
          <w:rFonts w:eastAsia="Calibri"/>
          <w:lang w:val="en-US" w:eastAsia="en-US"/>
        </w:rPr>
        <w:t xml:space="preserve"> // national research Institute. Higher school of Economics. – 2015. – 67 p.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 xml:space="preserve">4. </w:t>
      </w:r>
      <w:proofErr w:type="spellStart"/>
      <w:r w:rsidRPr="00745847">
        <w:rPr>
          <w:rFonts w:eastAsia="Calibri"/>
          <w:lang w:val="en-US" w:eastAsia="en-US"/>
        </w:rPr>
        <w:t>Danilov-Danilyan</w:t>
      </w:r>
      <w:proofErr w:type="spellEnd"/>
      <w:r w:rsidRPr="00745847">
        <w:rPr>
          <w:rFonts w:eastAsia="Calibri"/>
          <w:lang w:val="en-US" w:eastAsia="en-US"/>
        </w:rPr>
        <w:t xml:space="preserve">, V. I. fertilizer Industry: post-crisis development [Electronic resource] // Russian newspaper. The Federal issue. </w:t>
      </w:r>
      <w:r w:rsidR="001065F0" w:rsidRPr="007764C3">
        <w:rPr>
          <w:rFonts w:eastAsia="Calibri"/>
          <w:lang w:val="en-US" w:eastAsia="en-US"/>
        </w:rPr>
        <w:t>№</w:t>
      </w:r>
      <w:r w:rsidRPr="00745847">
        <w:rPr>
          <w:rFonts w:eastAsia="Calibri"/>
          <w:lang w:val="en-US" w:eastAsia="en-US"/>
        </w:rPr>
        <w:t>. 5251 (172). – Mode of access: http://www.rg.ru/2010/08/05/mineraly.html</w:t>
      </w:r>
    </w:p>
    <w:p w:rsidR="00745847" w:rsidRPr="00745847" w:rsidRDefault="001065F0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5. </w:t>
      </w:r>
      <w:proofErr w:type="spellStart"/>
      <w:r>
        <w:rPr>
          <w:rFonts w:eastAsia="Calibri"/>
          <w:lang w:val="en-US" w:eastAsia="en-US"/>
        </w:rPr>
        <w:t>Kopytova</w:t>
      </w:r>
      <w:proofErr w:type="spellEnd"/>
      <w:r>
        <w:rPr>
          <w:rFonts w:eastAsia="Calibri"/>
          <w:lang w:val="en-US" w:eastAsia="en-US"/>
        </w:rPr>
        <w:t>, E.</w:t>
      </w:r>
      <w:r w:rsidR="00745847" w:rsidRPr="00745847">
        <w:rPr>
          <w:rFonts w:eastAsia="Calibri"/>
          <w:lang w:val="en-US" w:eastAsia="en-US"/>
        </w:rPr>
        <w:t>D. Activities of enterprises-producers of mineral fertiliz</w:t>
      </w:r>
      <w:r>
        <w:rPr>
          <w:rFonts w:eastAsia="Calibri"/>
          <w:lang w:val="en-US" w:eastAsia="en-US"/>
        </w:rPr>
        <w:t>ers in the Russian economy / E.</w:t>
      </w:r>
      <w:r w:rsidR="00745847" w:rsidRPr="00745847">
        <w:rPr>
          <w:rFonts w:eastAsia="Calibri"/>
          <w:lang w:val="en-US" w:eastAsia="en-US"/>
        </w:rPr>
        <w:t xml:space="preserve">D. </w:t>
      </w:r>
      <w:proofErr w:type="spellStart"/>
      <w:r w:rsidR="00745847" w:rsidRPr="00745847">
        <w:rPr>
          <w:rFonts w:eastAsia="Calibri"/>
          <w:lang w:val="en-US" w:eastAsia="en-US"/>
        </w:rPr>
        <w:t>Kopytova</w:t>
      </w:r>
      <w:proofErr w:type="spellEnd"/>
      <w:r w:rsidR="00745847" w:rsidRPr="00745847">
        <w:rPr>
          <w:rFonts w:eastAsia="Calibri"/>
          <w:lang w:val="en-US" w:eastAsia="en-US"/>
        </w:rPr>
        <w:t xml:space="preserve"> // </w:t>
      </w:r>
      <w:proofErr w:type="spellStart"/>
      <w:r w:rsidR="00745847" w:rsidRPr="00745847">
        <w:rPr>
          <w:rFonts w:eastAsia="Calibri"/>
          <w:lang w:val="en-US" w:eastAsia="en-US"/>
        </w:rPr>
        <w:t>Izvestiya</w:t>
      </w:r>
      <w:proofErr w:type="spellEnd"/>
      <w:r w:rsidR="00745847" w:rsidRPr="00745847">
        <w:rPr>
          <w:rFonts w:eastAsia="Calibri"/>
          <w:lang w:val="en-US" w:eastAsia="en-US"/>
        </w:rPr>
        <w:t xml:space="preserve"> </w:t>
      </w:r>
      <w:proofErr w:type="spellStart"/>
      <w:r w:rsidR="00745847" w:rsidRPr="00745847">
        <w:rPr>
          <w:rFonts w:eastAsia="Calibri"/>
          <w:lang w:val="en-US" w:eastAsia="en-US"/>
        </w:rPr>
        <w:t>vuzov</w:t>
      </w:r>
      <w:proofErr w:type="spellEnd"/>
      <w:r w:rsidR="00745847" w:rsidRPr="00745847">
        <w:rPr>
          <w:rFonts w:eastAsia="Calibri"/>
          <w:lang w:val="en-US" w:eastAsia="en-US"/>
        </w:rPr>
        <w:t>. Series "Economics, Finance and production management". – 2016. – № 01(27). – P. 52-61.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>6. Features of formation and development of competitive industries the chemical industry in Russia (on the example of production of mineral fertilizers) [Electronic resource]. – Mode of access: http://www.e-rej.ru/Articles/2011/Vorobyev.pdf</w:t>
      </w:r>
    </w:p>
    <w:p w:rsidR="00745847" w:rsidRPr="00745847" w:rsidRDefault="001065F0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7. </w:t>
      </w:r>
      <w:proofErr w:type="spellStart"/>
      <w:r>
        <w:rPr>
          <w:rFonts w:eastAsia="Calibri"/>
          <w:lang w:val="en-US" w:eastAsia="en-US"/>
        </w:rPr>
        <w:t>Razgulina</w:t>
      </w:r>
      <w:proofErr w:type="spellEnd"/>
      <w:r>
        <w:rPr>
          <w:rFonts w:eastAsia="Calibri"/>
          <w:lang w:val="en-US" w:eastAsia="en-US"/>
        </w:rPr>
        <w:t>, E.</w:t>
      </w:r>
      <w:r w:rsidR="00745847" w:rsidRPr="00745847">
        <w:rPr>
          <w:rFonts w:eastAsia="Calibri"/>
          <w:lang w:val="en-US" w:eastAsia="en-US"/>
        </w:rPr>
        <w:t xml:space="preserve">D. assessment of the impact of the largest companies on the socio-economic </w:t>
      </w:r>
      <w:r>
        <w:rPr>
          <w:rFonts w:eastAsia="Calibri"/>
          <w:lang w:val="en-US" w:eastAsia="en-US"/>
        </w:rPr>
        <w:t>development of territories / E.</w:t>
      </w:r>
      <w:r w:rsidR="00745847" w:rsidRPr="00745847">
        <w:rPr>
          <w:rFonts w:eastAsia="Calibri"/>
          <w:lang w:val="en-US" w:eastAsia="en-US"/>
        </w:rPr>
        <w:t xml:space="preserve">D. </w:t>
      </w:r>
      <w:proofErr w:type="spellStart"/>
      <w:r w:rsidRPr="00745847">
        <w:rPr>
          <w:rFonts w:eastAsia="Calibri"/>
          <w:lang w:val="en-US" w:eastAsia="en-US"/>
        </w:rPr>
        <w:t>Razgulina</w:t>
      </w:r>
      <w:proofErr w:type="spellEnd"/>
      <w:r w:rsidRPr="00745847">
        <w:rPr>
          <w:rFonts w:eastAsia="Calibri"/>
          <w:lang w:val="en-US" w:eastAsia="en-US"/>
        </w:rPr>
        <w:t xml:space="preserve"> </w:t>
      </w:r>
      <w:r w:rsidR="00745847" w:rsidRPr="00745847">
        <w:rPr>
          <w:rFonts w:eastAsia="Calibri"/>
          <w:lang w:val="en-US" w:eastAsia="en-US"/>
        </w:rPr>
        <w:t>// Economic and social changes: facts, trends, forecast. – 2014. – № 3 (33). – P. 223-234.</w:t>
      </w:r>
    </w:p>
    <w:p w:rsidR="00745847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 xml:space="preserve">8. </w:t>
      </w:r>
      <w:proofErr w:type="spellStart"/>
      <w:r w:rsidRPr="00745847">
        <w:rPr>
          <w:rFonts w:eastAsia="Calibri"/>
          <w:lang w:val="en-US" w:eastAsia="en-US"/>
        </w:rPr>
        <w:t>Chernyshev</w:t>
      </w:r>
      <w:proofErr w:type="spellEnd"/>
      <w:r w:rsidRPr="00745847">
        <w:rPr>
          <w:rFonts w:eastAsia="Calibri"/>
          <w:lang w:val="en-US" w:eastAsia="en-US"/>
        </w:rPr>
        <w:t xml:space="preserve">, A. supply [Electronic resource] / A. </w:t>
      </w:r>
      <w:proofErr w:type="spellStart"/>
      <w:r w:rsidRPr="00745847">
        <w:rPr>
          <w:rFonts w:eastAsia="Calibri"/>
          <w:lang w:val="en-US" w:eastAsia="en-US"/>
        </w:rPr>
        <w:t>Tchernyshev</w:t>
      </w:r>
      <w:proofErr w:type="spellEnd"/>
      <w:r w:rsidRPr="00745847">
        <w:rPr>
          <w:rFonts w:eastAsia="Calibri"/>
          <w:lang w:val="en-US" w:eastAsia="en-US"/>
        </w:rPr>
        <w:t xml:space="preserve"> // the Official website of the Center for economic forecasting of </w:t>
      </w:r>
      <w:proofErr w:type="spellStart"/>
      <w:r w:rsidRPr="00745847">
        <w:rPr>
          <w:rFonts w:eastAsia="Calibri"/>
          <w:lang w:val="en-US" w:eastAsia="en-US"/>
        </w:rPr>
        <w:t>Gazprombank</w:t>
      </w:r>
      <w:proofErr w:type="spellEnd"/>
      <w:r w:rsidRPr="00745847">
        <w:rPr>
          <w:rFonts w:eastAsia="Calibri"/>
          <w:lang w:val="en-US" w:eastAsia="en-US"/>
        </w:rPr>
        <w:t>. – Mode of access: http://rbcdaily.ru/addition/article/562949992658986</w:t>
      </w:r>
    </w:p>
    <w:p w:rsidR="00D26446" w:rsidRPr="00745847" w:rsidRDefault="00745847" w:rsidP="00745847">
      <w:pPr>
        <w:tabs>
          <w:tab w:val="left" w:pos="993"/>
        </w:tabs>
        <w:ind w:firstLine="709"/>
        <w:contextualSpacing/>
        <w:jc w:val="both"/>
        <w:rPr>
          <w:rFonts w:eastAsia="Calibri"/>
          <w:lang w:val="en-US" w:eastAsia="en-US"/>
        </w:rPr>
      </w:pPr>
      <w:r w:rsidRPr="00745847">
        <w:rPr>
          <w:rFonts w:eastAsia="Calibri"/>
          <w:lang w:val="en-US" w:eastAsia="en-US"/>
        </w:rPr>
        <w:t xml:space="preserve">9. The effectiveness of </w:t>
      </w:r>
      <w:proofErr w:type="spellStart"/>
      <w:r w:rsidRPr="00745847">
        <w:rPr>
          <w:rFonts w:eastAsia="Calibri"/>
          <w:lang w:val="en-US" w:eastAsia="en-US"/>
        </w:rPr>
        <w:t>chemicalization</w:t>
      </w:r>
      <w:proofErr w:type="spellEnd"/>
      <w:r w:rsidRPr="00745847">
        <w:rPr>
          <w:rFonts w:eastAsia="Calibri"/>
          <w:lang w:val="en-US" w:eastAsia="en-US"/>
        </w:rPr>
        <w:t xml:space="preserve"> of the national economy [Text]: monograph / N. N. Baranov, L. S. </w:t>
      </w:r>
      <w:proofErr w:type="spellStart"/>
      <w:r w:rsidRPr="00745847">
        <w:rPr>
          <w:rFonts w:eastAsia="Calibri"/>
          <w:lang w:val="en-US" w:eastAsia="en-US"/>
        </w:rPr>
        <w:t>Bragin</w:t>
      </w:r>
      <w:proofErr w:type="spellEnd"/>
      <w:r w:rsidRPr="00745847">
        <w:rPr>
          <w:rFonts w:eastAsia="Calibri"/>
          <w:lang w:val="en-US" w:eastAsia="en-US"/>
        </w:rPr>
        <w:t xml:space="preserve">, A. N. </w:t>
      </w:r>
      <w:proofErr w:type="spellStart"/>
      <w:r w:rsidRPr="00745847">
        <w:rPr>
          <w:rFonts w:eastAsia="Calibri"/>
          <w:lang w:val="en-US" w:eastAsia="en-US"/>
        </w:rPr>
        <w:t>Vasilyev</w:t>
      </w:r>
      <w:proofErr w:type="spellEnd"/>
      <w:r w:rsidRPr="00745847">
        <w:rPr>
          <w:rFonts w:eastAsia="Calibri"/>
          <w:lang w:val="en-US" w:eastAsia="en-US"/>
        </w:rPr>
        <w:t xml:space="preserve">, D. A., </w:t>
      </w:r>
      <w:proofErr w:type="spellStart"/>
      <w:r w:rsidRPr="00745847">
        <w:rPr>
          <w:rFonts w:eastAsia="Calibri"/>
          <w:lang w:val="en-US" w:eastAsia="en-US"/>
        </w:rPr>
        <w:t>Gerasimenko</w:t>
      </w:r>
      <w:proofErr w:type="spellEnd"/>
      <w:r w:rsidRPr="00745847">
        <w:rPr>
          <w:rFonts w:eastAsia="Calibri"/>
          <w:lang w:val="en-US" w:eastAsia="en-US"/>
        </w:rPr>
        <w:t xml:space="preserve">, L. I. </w:t>
      </w:r>
      <w:proofErr w:type="spellStart"/>
      <w:r w:rsidRPr="00745847">
        <w:rPr>
          <w:rFonts w:eastAsia="Calibri"/>
          <w:lang w:val="en-US" w:eastAsia="en-US"/>
        </w:rPr>
        <w:t>Koshkin</w:t>
      </w:r>
      <w:proofErr w:type="spellEnd"/>
      <w:r w:rsidRPr="00745847">
        <w:rPr>
          <w:rFonts w:eastAsia="Calibri"/>
          <w:lang w:val="en-US" w:eastAsia="en-US"/>
        </w:rPr>
        <w:t xml:space="preserve">, I. E. </w:t>
      </w:r>
      <w:proofErr w:type="spellStart"/>
      <w:r w:rsidRPr="00745847">
        <w:rPr>
          <w:rFonts w:eastAsia="Calibri"/>
          <w:lang w:val="en-US" w:eastAsia="en-US"/>
        </w:rPr>
        <w:t>Krichevsky</w:t>
      </w:r>
      <w:proofErr w:type="spellEnd"/>
      <w:r w:rsidRPr="00745847">
        <w:rPr>
          <w:rFonts w:eastAsia="Calibri"/>
          <w:lang w:val="en-US" w:eastAsia="en-US"/>
        </w:rPr>
        <w:t xml:space="preserve">, V. I. </w:t>
      </w:r>
      <w:proofErr w:type="spellStart"/>
      <w:r w:rsidRPr="00745847">
        <w:rPr>
          <w:rFonts w:eastAsia="Calibri"/>
          <w:lang w:val="en-US" w:eastAsia="en-US"/>
        </w:rPr>
        <w:t>Rakhlin</w:t>
      </w:r>
      <w:proofErr w:type="spellEnd"/>
      <w:r w:rsidRPr="00745847">
        <w:rPr>
          <w:rFonts w:eastAsia="Calibri"/>
          <w:lang w:val="en-US" w:eastAsia="en-US"/>
        </w:rPr>
        <w:t xml:space="preserve">, I. N. Reitman, E. S. </w:t>
      </w:r>
      <w:proofErr w:type="spellStart"/>
      <w:r w:rsidRPr="00745847">
        <w:rPr>
          <w:rFonts w:eastAsia="Calibri"/>
          <w:lang w:val="en-US" w:eastAsia="en-US"/>
        </w:rPr>
        <w:t>Savinsky</w:t>
      </w:r>
      <w:proofErr w:type="spellEnd"/>
      <w:r w:rsidRPr="00745847">
        <w:rPr>
          <w:rFonts w:eastAsia="Calibri"/>
          <w:lang w:val="en-US" w:eastAsia="en-US"/>
        </w:rPr>
        <w:t xml:space="preserve"> And N.. </w:t>
      </w:r>
      <w:proofErr w:type="spellStart"/>
      <w:r w:rsidRPr="00745847">
        <w:rPr>
          <w:rFonts w:eastAsia="Calibri"/>
          <w:lang w:val="en-US" w:eastAsia="en-US"/>
        </w:rPr>
        <w:t>Sidorova</w:t>
      </w:r>
      <w:proofErr w:type="spellEnd"/>
      <w:r w:rsidRPr="00745847">
        <w:rPr>
          <w:rFonts w:eastAsia="Calibri"/>
          <w:lang w:val="en-US" w:eastAsia="en-US"/>
        </w:rPr>
        <w:t xml:space="preserve">, L. P. Sable, N. With. </w:t>
      </w:r>
      <w:proofErr w:type="spellStart"/>
      <w:r w:rsidRPr="00745847">
        <w:rPr>
          <w:rFonts w:eastAsia="Calibri"/>
          <w:lang w:val="en-US" w:eastAsia="en-US"/>
        </w:rPr>
        <w:t>Fomina</w:t>
      </w:r>
      <w:proofErr w:type="spellEnd"/>
      <w:r w:rsidRPr="00745847">
        <w:rPr>
          <w:rFonts w:eastAsia="Calibri"/>
          <w:lang w:val="en-US" w:eastAsia="en-US"/>
        </w:rPr>
        <w:t xml:space="preserve">; under the editorship of Dr. Econ. Sciences E. S. </w:t>
      </w:r>
      <w:proofErr w:type="spellStart"/>
      <w:r w:rsidRPr="00745847">
        <w:rPr>
          <w:rFonts w:eastAsia="Calibri"/>
          <w:lang w:val="en-US" w:eastAsia="en-US"/>
        </w:rPr>
        <w:t>Savinsky</w:t>
      </w:r>
      <w:proofErr w:type="spellEnd"/>
      <w:r w:rsidRPr="00745847">
        <w:rPr>
          <w:rFonts w:eastAsia="Calibri"/>
          <w:lang w:val="en-US" w:eastAsia="en-US"/>
        </w:rPr>
        <w:t>. – M.: Chemistry, 1997 . 220 p.</w:t>
      </w:r>
    </w:p>
    <w:sectPr w:rsidR="00D26446" w:rsidRPr="00745847" w:rsidSect="00A23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47" w:rsidRDefault="00745847" w:rsidP="002B4C1A">
      <w:r>
        <w:separator/>
      </w:r>
    </w:p>
  </w:endnote>
  <w:endnote w:type="continuationSeparator" w:id="0">
    <w:p w:rsidR="00745847" w:rsidRDefault="00745847" w:rsidP="002B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47" w:rsidRDefault="00745847" w:rsidP="002B4C1A">
      <w:r>
        <w:separator/>
      </w:r>
    </w:p>
  </w:footnote>
  <w:footnote w:type="continuationSeparator" w:id="0">
    <w:p w:rsidR="00745847" w:rsidRDefault="00745847" w:rsidP="002B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4BD"/>
    <w:multiLevelType w:val="hybridMultilevel"/>
    <w:tmpl w:val="3F0037A0"/>
    <w:lvl w:ilvl="0" w:tplc="747885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85043"/>
    <w:multiLevelType w:val="hybridMultilevel"/>
    <w:tmpl w:val="C150BB7C"/>
    <w:lvl w:ilvl="0" w:tplc="747885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413E6"/>
    <w:multiLevelType w:val="hybridMultilevel"/>
    <w:tmpl w:val="6CDA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6181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B"/>
    <w:rsid w:val="00002914"/>
    <w:rsid w:val="00004805"/>
    <w:rsid w:val="00020298"/>
    <w:rsid w:val="000436EE"/>
    <w:rsid w:val="000477A7"/>
    <w:rsid w:val="000551AF"/>
    <w:rsid w:val="00060BDC"/>
    <w:rsid w:val="00061D61"/>
    <w:rsid w:val="0009776A"/>
    <w:rsid w:val="000A1D3D"/>
    <w:rsid w:val="000A354C"/>
    <w:rsid w:val="000A7E83"/>
    <w:rsid w:val="000D6C49"/>
    <w:rsid w:val="000E13C6"/>
    <w:rsid w:val="000F68D6"/>
    <w:rsid w:val="000F694E"/>
    <w:rsid w:val="0010269B"/>
    <w:rsid w:val="001065F0"/>
    <w:rsid w:val="001139F2"/>
    <w:rsid w:val="0012585F"/>
    <w:rsid w:val="0012789C"/>
    <w:rsid w:val="00143955"/>
    <w:rsid w:val="00152581"/>
    <w:rsid w:val="00162968"/>
    <w:rsid w:val="00172840"/>
    <w:rsid w:val="00173DDD"/>
    <w:rsid w:val="00190528"/>
    <w:rsid w:val="00197C6F"/>
    <w:rsid w:val="001A4C52"/>
    <w:rsid w:val="001A504B"/>
    <w:rsid w:val="001A6841"/>
    <w:rsid w:val="001B1ABC"/>
    <w:rsid w:val="001B1D8F"/>
    <w:rsid w:val="001C36FD"/>
    <w:rsid w:val="001C4218"/>
    <w:rsid w:val="001D4972"/>
    <w:rsid w:val="001E033B"/>
    <w:rsid w:val="001E6A9D"/>
    <w:rsid w:val="001F2DBA"/>
    <w:rsid w:val="001F44C5"/>
    <w:rsid w:val="0020241B"/>
    <w:rsid w:val="00207126"/>
    <w:rsid w:val="00211737"/>
    <w:rsid w:val="00224320"/>
    <w:rsid w:val="00226E8C"/>
    <w:rsid w:val="00227588"/>
    <w:rsid w:val="00235B78"/>
    <w:rsid w:val="0024023A"/>
    <w:rsid w:val="0025445C"/>
    <w:rsid w:val="00261E4B"/>
    <w:rsid w:val="00264BE1"/>
    <w:rsid w:val="00267B72"/>
    <w:rsid w:val="002732C4"/>
    <w:rsid w:val="002868DB"/>
    <w:rsid w:val="002938FA"/>
    <w:rsid w:val="00294355"/>
    <w:rsid w:val="002950C6"/>
    <w:rsid w:val="00297A53"/>
    <w:rsid w:val="00297D31"/>
    <w:rsid w:val="002B3937"/>
    <w:rsid w:val="002B4C1A"/>
    <w:rsid w:val="002C0978"/>
    <w:rsid w:val="002D3469"/>
    <w:rsid w:val="002D3A43"/>
    <w:rsid w:val="002E4437"/>
    <w:rsid w:val="002F2931"/>
    <w:rsid w:val="00306E6C"/>
    <w:rsid w:val="00326015"/>
    <w:rsid w:val="00326FD7"/>
    <w:rsid w:val="00344294"/>
    <w:rsid w:val="003537FB"/>
    <w:rsid w:val="00353859"/>
    <w:rsid w:val="00364DD1"/>
    <w:rsid w:val="00384FCB"/>
    <w:rsid w:val="0038650F"/>
    <w:rsid w:val="003A0091"/>
    <w:rsid w:val="003B17B5"/>
    <w:rsid w:val="003B43F1"/>
    <w:rsid w:val="003B5CB7"/>
    <w:rsid w:val="003C5E45"/>
    <w:rsid w:val="003D204B"/>
    <w:rsid w:val="003D6255"/>
    <w:rsid w:val="003E2E58"/>
    <w:rsid w:val="003E329D"/>
    <w:rsid w:val="003E381C"/>
    <w:rsid w:val="003E4BDD"/>
    <w:rsid w:val="003E63A8"/>
    <w:rsid w:val="003F1DFE"/>
    <w:rsid w:val="003F41A2"/>
    <w:rsid w:val="003F445D"/>
    <w:rsid w:val="004054E4"/>
    <w:rsid w:val="004059AF"/>
    <w:rsid w:val="00407641"/>
    <w:rsid w:val="0041600D"/>
    <w:rsid w:val="00424B0C"/>
    <w:rsid w:val="004272E8"/>
    <w:rsid w:val="00431B83"/>
    <w:rsid w:val="00432EB7"/>
    <w:rsid w:val="00434924"/>
    <w:rsid w:val="00445B8D"/>
    <w:rsid w:val="004467FD"/>
    <w:rsid w:val="0046102E"/>
    <w:rsid w:val="00462F4D"/>
    <w:rsid w:val="00480467"/>
    <w:rsid w:val="004820BD"/>
    <w:rsid w:val="00487FE2"/>
    <w:rsid w:val="004922DE"/>
    <w:rsid w:val="00494E87"/>
    <w:rsid w:val="004C7ADD"/>
    <w:rsid w:val="004E526B"/>
    <w:rsid w:val="004F049B"/>
    <w:rsid w:val="005028F9"/>
    <w:rsid w:val="005050EC"/>
    <w:rsid w:val="00505A65"/>
    <w:rsid w:val="00516252"/>
    <w:rsid w:val="005175E3"/>
    <w:rsid w:val="0052253C"/>
    <w:rsid w:val="00530C08"/>
    <w:rsid w:val="00534434"/>
    <w:rsid w:val="00536EC8"/>
    <w:rsid w:val="005467E1"/>
    <w:rsid w:val="00554932"/>
    <w:rsid w:val="005616F1"/>
    <w:rsid w:val="00596254"/>
    <w:rsid w:val="005B5945"/>
    <w:rsid w:val="005C65E6"/>
    <w:rsid w:val="005D6A09"/>
    <w:rsid w:val="005E1D75"/>
    <w:rsid w:val="005E2577"/>
    <w:rsid w:val="005E5AA2"/>
    <w:rsid w:val="005F1D0A"/>
    <w:rsid w:val="0060032B"/>
    <w:rsid w:val="00610317"/>
    <w:rsid w:val="00620A81"/>
    <w:rsid w:val="006238CB"/>
    <w:rsid w:val="006240C2"/>
    <w:rsid w:val="00632F32"/>
    <w:rsid w:val="00636161"/>
    <w:rsid w:val="006366DD"/>
    <w:rsid w:val="00642A89"/>
    <w:rsid w:val="006543F8"/>
    <w:rsid w:val="00670E5F"/>
    <w:rsid w:val="00681D6D"/>
    <w:rsid w:val="00693F7E"/>
    <w:rsid w:val="006A0354"/>
    <w:rsid w:val="006A5897"/>
    <w:rsid w:val="006B0035"/>
    <w:rsid w:val="006B2E75"/>
    <w:rsid w:val="006B7357"/>
    <w:rsid w:val="006C2E52"/>
    <w:rsid w:val="006C5BFF"/>
    <w:rsid w:val="006E252C"/>
    <w:rsid w:val="00701E13"/>
    <w:rsid w:val="00702EC2"/>
    <w:rsid w:val="00711936"/>
    <w:rsid w:val="00713F7C"/>
    <w:rsid w:val="0071435F"/>
    <w:rsid w:val="007278A2"/>
    <w:rsid w:val="007307D1"/>
    <w:rsid w:val="00745847"/>
    <w:rsid w:val="007559C4"/>
    <w:rsid w:val="00757F0E"/>
    <w:rsid w:val="0076141F"/>
    <w:rsid w:val="00762F53"/>
    <w:rsid w:val="00763916"/>
    <w:rsid w:val="007764C3"/>
    <w:rsid w:val="007829C7"/>
    <w:rsid w:val="007835EC"/>
    <w:rsid w:val="007A1626"/>
    <w:rsid w:val="007B56A0"/>
    <w:rsid w:val="007C596E"/>
    <w:rsid w:val="007D2298"/>
    <w:rsid w:val="007F5B43"/>
    <w:rsid w:val="007F7EDC"/>
    <w:rsid w:val="008056B2"/>
    <w:rsid w:val="008056F5"/>
    <w:rsid w:val="008060D2"/>
    <w:rsid w:val="00816D73"/>
    <w:rsid w:val="00825FB0"/>
    <w:rsid w:val="00833671"/>
    <w:rsid w:val="00837CAE"/>
    <w:rsid w:val="00854392"/>
    <w:rsid w:val="008641B9"/>
    <w:rsid w:val="00886EEB"/>
    <w:rsid w:val="00894466"/>
    <w:rsid w:val="008B098C"/>
    <w:rsid w:val="008B0CFD"/>
    <w:rsid w:val="008B2ED5"/>
    <w:rsid w:val="008C46A2"/>
    <w:rsid w:val="008C6747"/>
    <w:rsid w:val="008D42C1"/>
    <w:rsid w:val="008F646D"/>
    <w:rsid w:val="00901D37"/>
    <w:rsid w:val="00916824"/>
    <w:rsid w:val="00917403"/>
    <w:rsid w:val="00922A94"/>
    <w:rsid w:val="00930EA7"/>
    <w:rsid w:val="009326B7"/>
    <w:rsid w:val="00932FBE"/>
    <w:rsid w:val="00937E35"/>
    <w:rsid w:val="009425D8"/>
    <w:rsid w:val="00945C43"/>
    <w:rsid w:val="00951312"/>
    <w:rsid w:val="009515AD"/>
    <w:rsid w:val="00966C23"/>
    <w:rsid w:val="009A194D"/>
    <w:rsid w:val="009A205F"/>
    <w:rsid w:val="009A742B"/>
    <w:rsid w:val="009C402B"/>
    <w:rsid w:val="009D334D"/>
    <w:rsid w:val="009E4AFE"/>
    <w:rsid w:val="009E6FE7"/>
    <w:rsid w:val="009F6482"/>
    <w:rsid w:val="00A012B2"/>
    <w:rsid w:val="00A23549"/>
    <w:rsid w:val="00A259CB"/>
    <w:rsid w:val="00A312AB"/>
    <w:rsid w:val="00A501B1"/>
    <w:rsid w:val="00A516C4"/>
    <w:rsid w:val="00A52323"/>
    <w:rsid w:val="00A57229"/>
    <w:rsid w:val="00A62030"/>
    <w:rsid w:val="00A6546E"/>
    <w:rsid w:val="00A65D28"/>
    <w:rsid w:val="00A93203"/>
    <w:rsid w:val="00A93B32"/>
    <w:rsid w:val="00AA44DA"/>
    <w:rsid w:val="00AA502F"/>
    <w:rsid w:val="00AA72CC"/>
    <w:rsid w:val="00AB2F3F"/>
    <w:rsid w:val="00AB33F6"/>
    <w:rsid w:val="00AB3B75"/>
    <w:rsid w:val="00AC218E"/>
    <w:rsid w:val="00AC5DA5"/>
    <w:rsid w:val="00AE2B4F"/>
    <w:rsid w:val="00AF0B68"/>
    <w:rsid w:val="00AF1287"/>
    <w:rsid w:val="00B11BD9"/>
    <w:rsid w:val="00B141FF"/>
    <w:rsid w:val="00B23780"/>
    <w:rsid w:val="00B237B4"/>
    <w:rsid w:val="00B2717B"/>
    <w:rsid w:val="00B358B8"/>
    <w:rsid w:val="00B36180"/>
    <w:rsid w:val="00B409E9"/>
    <w:rsid w:val="00B51FCF"/>
    <w:rsid w:val="00B659E3"/>
    <w:rsid w:val="00B72A53"/>
    <w:rsid w:val="00B73425"/>
    <w:rsid w:val="00B73887"/>
    <w:rsid w:val="00B958E3"/>
    <w:rsid w:val="00BA62DF"/>
    <w:rsid w:val="00BB7979"/>
    <w:rsid w:val="00BC571B"/>
    <w:rsid w:val="00BD2F61"/>
    <w:rsid w:val="00BD5B21"/>
    <w:rsid w:val="00BE4D81"/>
    <w:rsid w:val="00BE5EE1"/>
    <w:rsid w:val="00BE77AF"/>
    <w:rsid w:val="00BE7CBE"/>
    <w:rsid w:val="00BF0B57"/>
    <w:rsid w:val="00BF214D"/>
    <w:rsid w:val="00C05805"/>
    <w:rsid w:val="00C14271"/>
    <w:rsid w:val="00C15030"/>
    <w:rsid w:val="00C15E19"/>
    <w:rsid w:val="00C24BB3"/>
    <w:rsid w:val="00C444D1"/>
    <w:rsid w:val="00C51EEB"/>
    <w:rsid w:val="00C5201B"/>
    <w:rsid w:val="00C567B9"/>
    <w:rsid w:val="00C6066F"/>
    <w:rsid w:val="00C636E9"/>
    <w:rsid w:val="00C709A5"/>
    <w:rsid w:val="00C73A91"/>
    <w:rsid w:val="00C73C0B"/>
    <w:rsid w:val="00C748A6"/>
    <w:rsid w:val="00C82B92"/>
    <w:rsid w:val="00C9478F"/>
    <w:rsid w:val="00C9733C"/>
    <w:rsid w:val="00CA00AE"/>
    <w:rsid w:val="00CA7426"/>
    <w:rsid w:val="00CB03FE"/>
    <w:rsid w:val="00CB0414"/>
    <w:rsid w:val="00CB178D"/>
    <w:rsid w:val="00CB1B6F"/>
    <w:rsid w:val="00CC3E66"/>
    <w:rsid w:val="00CD1FE9"/>
    <w:rsid w:val="00CE35B6"/>
    <w:rsid w:val="00CE77E5"/>
    <w:rsid w:val="00D02CD2"/>
    <w:rsid w:val="00D04D5F"/>
    <w:rsid w:val="00D1027B"/>
    <w:rsid w:val="00D204F5"/>
    <w:rsid w:val="00D26446"/>
    <w:rsid w:val="00D30C98"/>
    <w:rsid w:val="00D30FBB"/>
    <w:rsid w:val="00D40F44"/>
    <w:rsid w:val="00D4673B"/>
    <w:rsid w:val="00D46A02"/>
    <w:rsid w:val="00D51067"/>
    <w:rsid w:val="00D5282D"/>
    <w:rsid w:val="00D56898"/>
    <w:rsid w:val="00D60B9C"/>
    <w:rsid w:val="00D65958"/>
    <w:rsid w:val="00D71587"/>
    <w:rsid w:val="00D84549"/>
    <w:rsid w:val="00D84EE0"/>
    <w:rsid w:val="00DA042F"/>
    <w:rsid w:val="00DA642A"/>
    <w:rsid w:val="00DB4F98"/>
    <w:rsid w:val="00DB7F32"/>
    <w:rsid w:val="00DD123D"/>
    <w:rsid w:val="00DF5E0F"/>
    <w:rsid w:val="00E00E50"/>
    <w:rsid w:val="00E05F5F"/>
    <w:rsid w:val="00E0751C"/>
    <w:rsid w:val="00E52C5F"/>
    <w:rsid w:val="00E55B26"/>
    <w:rsid w:val="00E706EB"/>
    <w:rsid w:val="00E768F8"/>
    <w:rsid w:val="00E97CC8"/>
    <w:rsid w:val="00EA6A77"/>
    <w:rsid w:val="00EC2754"/>
    <w:rsid w:val="00EC3FD1"/>
    <w:rsid w:val="00ED356D"/>
    <w:rsid w:val="00F1255C"/>
    <w:rsid w:val="00F13503"/>
    <w:rsid w:val="00F218CD"/>
    <w:rsid w:val="00F37DAF"/>
    <w:rsid w:val="00F544AE"/>
    <w:rsid w:val="00F613D4"/>
    <w:rsid w:val="00F632F9"/>
    <w:rsid w:val="00F71E3B"/>
    <w:rsid w:val="00F77DF9"/>
    <w:rsid w:val="00F85EDA"/>
    <w:rsid w:val="00FA2CDC"/>
    <w:rsid w:val="00FD4D69"/>
    <w:rsid w:val="00FE1B40"/>
    <w:rsid w:val="00FF048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,single space,footnote text,Знак Знак Знак,Текст сноски Знак1 Знак,-++,-++ Знак"/>
    <w:basedOn w:val="a"/>
    <w:link w:val="1"/>
    <w:uiPriority w:val="99"/>
    <w:rsid w:val="002B4C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uiPriority w:val="99"/>
    <w:rsid w:val="002B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Текст сноски Знак Знак Знак Знак Знак Знак,Текст сноски Знак1 Знак Знак,Текст сноски Знак Знак Знак Знак,Текст сноски Знак1 Знак Знак Знак Знак,-++ Знак Знак,footnote text Знак Знак,fr"/>
    <w:uiPriority w:val="99"/>
    <w:rsid w:val="002B4C1A"/>
    <w:rPr>
      <w:vertAlign w:val="superscript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Table_Footnote_last Знак Знак1,Table_Footnote_last Знак Знак Знак,Table_Footnote_last Знак1,single space Знак,footnote text Знак,Знак Знак Знак Знак"/>
    <w:link w:val="a3"/>
    <w:uiPriority w:val="99"/>
    <w:rsid w:val="002B4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C1A"/>
  </w:style>
  <w:style w:type="paragraph" w:styleId="a6">
    <w:name w:val="Balloon Text"/>
    <w:basedOn w:val="a"/>
    <w:link w:val="a7"/>
    <w:uiPriority w:val="99"/>
    <w:semiHidden/>
    <w:unhideWhenUsed/>
    <w:rsid w:val="0076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2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30C98"/>
    <w:rPr>
      <w:color w:val="0000FF"/>
      <w:u w:val="single"/>
    </w:rPr>
  </w:style>
  <w:style w:type="character" w:customStyle="1" w:styleId="30">
    <w:name w:val="Основной текст (3)_"/>
    <w:link w:val="31"/>
    <w:rsid w:val="00C947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9478F"/>
    <w:pPr>
      <w:widowControl w:val="0"/>
      <w:shd w:val="clear" w:color="auto" w:fill="FFFFFF"/>
      <w:spacing w:before="1860" w:after="1080" w:line="0" w:lineRule="atLeast"/>
      <w:jc w:val="center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64BE1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A62DF"/>
  </w:style>
  <w:style w:type="numbering" w:customStyle="1" w:styleId="11">
    <w:name w:val="Нет списка11"/>
    <w:next w:val="a2"/>
    <w:uiPriority w:val="99"/>
    <w:semiHidden/>
    <w:unhideWhenUsed/>
    <w:rsid w:val="00BA62DF"/>
  </w:style>
  <w:style w:type="paragraph" w:customStyle="1" w:styleId="12">
    <w:name w:val="Стиль1"/>
    <w:basedOn w:val="a"/>
    <w:rsid w:val="00BA62DF"/>
    <w:pPr>
      <w:widowControl w:val="0"/>
      <w:ind w:right="-454" w:firstLine="680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A62DF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B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62DF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A62DF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A62DF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A62DF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0">
    <w:name w:val="Normal (Web)"/>
    <w:basedOn w:val="a"/>
    <w:rsid w:val="00BA62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3">
    <w:name w:val="Стиль3"/>
    <w:rsid w:val="00BA62DF"/>
    <w:pPr>
      <w:numPr>
        <w:numId w:val="3"/>
      </w:numPr>
    </w:pPr>
  </w:style>
  <w:style w:type="paragraph" w:customStyle="1" w:styleId="Default">
    <w:name w:val="Default"/>
    <w:rsid w:val="00BA6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2 Знак"/>
    <w:link w:val="20"/>
    <w:locked/>
    <w:rsid w:val="00BA62DF"/>
    <w:rPr>
      <w:sz w:val="24"/>
      <w:szCs w:val="24"/>
    </w:rPr>
  </w:style>
  <w:style w:type="paragraph" w:styleId="20">
    <w:name w:val="Body Text 2"/>
    <w:basedOn w:val="a"/>
    <w:link w:val="2"/>
    <w:rsid w:val="00BA62DF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BA62DF"/>
    <w:rPr>
      <w:rFonts w:ascii="Times New Roman" w:eastAsia="Times New Roman" w:hAnsi="Times New Roman"/>
      <w:sz w:val="24"/>
      <w:szCs w:val="24"/>
    </w:rPr>
  </w:style>
  <w:style w:type="paragraph" w:customStyle="1" w:styleId="32">
    <w:name w:val="Обычный3"/>
    <w:rsid w:val="00BA62DF"/>
    <w:pPr>
      <w:spacing w:before="100" w:after="100"/>
    </w:pPr>
    <w:rPr>
      <w:rFonts w:ascii="Times New Roman" w:hAnsi="Times New Roman"/>
      <w:sz w:val="24"/>
    </w:rPr>
  </w:style>
  <w:style w:type="character" w:styleId="af1">
    <w:name w:val="page number"/>
    <w:rsid w:val="00BA62DF"/>
  </w:style>
  <w:style w:type="character" w:customStyle="1" w:styleId="af2">
    <w:name w:val="Основной текст_"/>
    <w:link w:val="5"/>
    <w:rsid w:val="00BA62DF"/>
    <w:rPr>
      <w:rFonts w:cs="Calibri"/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BA62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rsid w:val="00BA62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BA62DF"/>
    <w:pPr>
      <w:widowControl w:val="0"/>
      <w:shd w:val="clear" w:color="auto" w:fill="FFFFFF"/>
      <w:spacing w:before="780" w:after="60" w:line="293" w:lineRule="exact"/>
      <w:ind w:hanging="360"/>
      <w:jc w:val="both"/>
    </w:pPr>
    <w:rPr>
      <w:rFonts w:ascii="Calibri" w:eastAsia="Calibri" w:hAnsi="Calibri" w:cs="Calibri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,single space,footnote text,Знак Знак Знак,Текст сноски Знак1 Знак,-++,-++ Знак"/>
    <w:basedOn w:val="a"/>
    <w:link w:val="1"/>
    <w:uiPriority w:val="99"/>
    <w:rsid w:val="002B4C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uiPriority w:val="99"/>
    <w:rsid w:val="002B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SUPERS,Знак сноски 1,Текст сноски Знак Знак Знак Знак Знак Знак,Текст сноски Знак1 Знак Знак,Текст сноски Знак Знак Знак Знак,Текст сноски Знак1 Знак Знак Знак Знак,-++ Знак Знак,footnote text Знак Знак,fr"/>
    <w:uiPriority w:val="99"/>
    <w:rsid w:val="002B4C1A"/>
    <w:rPr>
      <w:vertAlign w:val="superscript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Table_Footnote_last Знак Знак1,Table_Footnote_last Знак Знак Знак,Table_Footnote_last Знак1,single space Знак,footnote text Знак,Знак Знак Знак Знак"/>
    <w:link w:val="a3"/>
    <w:uiPriority w:val="99"/>
    <w:rsid w:val="002B4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C1A"/>
  </w:style>
  <w:style w:type="paragraph" w:styleId="a6">
    <w:name w:val="Balloon Text"/>
    <w:basedOn w:val="a"/>
    <w:link w:val="a7"/>
    <w:uiPriority w:val="99"/>
    <w:semiHidden/>
    <w:unhideWhenUsed/>
    <w:rsid w:val="0076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2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30C98"/>
    <w:rPr>
      <w:color w:val="0000FF"/>
      <w:u w:val="single"/>
    </w:rPr>
  </w:style>
  <w:style w:type="character" w:customStyle="1" w:styleId="30">
    <w:name w:val="Основной текст (3)_"/>
    <w:link w:val="31"/>
    <w:rsid w:val="00C947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9478F"/>
    <w:pPr>
      <w:widowControl w:val="0"/>
      <w:shd w:val="clear" w:color="auto" w:fill="FFFFFF"/>
      <w:spacing w:before="1860" w:after="1080" w:line="0" w:lineRule="atLeast"/>
      <w:jc w:val="center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64BE1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A62DF"/>
  </w:style>
  <w:style w:type="numbering" w:customStyle="1" w:styleId="11">
    <w:name w:val="Нет списка11"/>
    <w:next w:val="a2"/>
    <w:uiPriority w:val="99"/>
    <w:semiHidden/>
    <w:unhideWhenUsed/>
    <w:rsid w:val="00BA62DF"/>
  </w:style>
  <w:style w:type="paragraph" w:customStyle="1" w:styleId="12">
    <w:name w:val="Стиль1"/>
    <w:basedOn w:val="a"/>
    <w:rsid w:val="00BA62DF"/>
    <w:pPr>
      <w:widowControl w:val="0"/>
      <w:ind w:right="-454" w:firstLine="680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A62DF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BA6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62DF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A62DF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A62DF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A62DF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0">
    <w:name w:val="Normal (Web)"/>
    <w:basedOn w:val="a"/>
    <w:rsid w:val="00BA62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3">
    <w:name w:val="Стиль3"/>
    <w:rsid w:val="00BA62DF"/>
    <w:pPr>
      <w:numPr>
        <w:numId w:val="3"/>
      </w:numPr>
    </w:pPr>
  </w:style>
  <w:style w:type="paragraph" w:customStyle="1" w:styleId="Default">
    <w:name w:val="Default"/>
    <w:rsid w:val="00BA6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2 Знак"/>
    <w:link w:val="20"/>
    <w:locked/>
    <w:rsid w:val="00BA62DF"/>
    <w:rPr>
      <w:sz w:val="24"/>
      <w:szCs w:val="24"/>
    </w:rPr>
  </w:style>
  <w:style w:type="paragraph" w:styleId="20">
    <w:name w:val="Body Text 2"/>
    <w:basedOn w:val="a"/>
    <w:link w:val="2"/>
    <w:rsid w:val="00BA62DF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BA62DF"/>
    <w:rPr>
      <w:rFonts w:ascii="Times New Roman" w:eastAsia="Times New Roman" w:hAnsi="Times New Roman"/>
      <w:sz w:val="24"/>
      <w:szCs w:val="24"/>
    </w:rPr>
  </w:style>
  <w:style w:type="paragraph" w:customStyle="1" w:styleId="32">
    <w:name w:val="Обычный3"/>
    <w:rsid w:val="00BA62DF"/>
    <w:pPr>
      <w:spacing w:before="100" w:after="100"/>
    </w:pPr>
    <w:rPr>
      <w:rFonts w:ascii="Times New Roman" w:hAnsi="Times New Roman"/>
      <w:sz w:val="24"/>
    </w:rPr>
  </w:style>
  <w:style w:type="character" w:styleId="af1">
    <w:name w:val="page number"/>
    <w:rsid w:val="00BA62DF"/>
  </w:style>
  <w:style w:type="character" w:customStyle="1" w:styleId="af2">
    <w:name w:val="Основной текст_"/>
    <w:link w:val="5"/>
    <w:rsid w:val="00BA62DF"/>
    <w:rPr>
      <w:rFonts w:cs="Calibri"/>
      <w:spacing w:val="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BA62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rsid w:val="00BA62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BA62DF"/>
    <w:pPr>
      <w:widowControl w:val="0"/>
      <w:shd w:val="clear" w:color="auto" w:fill="FFFFFF"/>
      <w:spacing w:before="780" w:after="60" w:line="293" w:lineRule="exact"/>
      <w:ind w:hanging="360"/>
      <w:jc w:val="both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01426524080458E-2"/>
          <c:y val="8.7301587301587297E-2"/>
          <c:w val="0.83553997742715957"/>
          <c:h val="0.63273840769903766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dotDmnd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Расчеты!$B$767:$H$767</c:f>
              <c:strCache>
                <c:ptCount val="7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 </c:v>
                </c:pt>
              </c:strCache>
            </c:strRef>
          </c:cat>
          <c:val>
            <c:numRef>
              <c:f>Расчеты!$B$768:$H$768</c:f>
              <c:numCache>
                <c:formatCode>General</c:formatCode>
                <c:ptCount val="7"/>
                <c:pt idx="0">
                  <c:v>14.6</c:v>
                </c:pt>
                <c:pt idx="1">
                  <c:v>17.899999999999999</c:v>
                </c:pt>
                <c:pt idx="2">
                  <c:v>18.8</c:v>
                </c:pt>
                <c:pt idx="3">
                  <c:v>17.8</c:v>
                </c:pt>
                <c:pt idx="4">
                  <c:v>18.399999999999999</c:v>
                </c:pt>
                <c:pt idx="5">
                  <c:v>19.600000000000001</c:v>
                </c:pt>
                <c:pt idx="6">
                  <c:v>19.899999999999999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87360"/>
        <c:axId val="181590272"/>
      </c:barChart>
      <c:catAx>
        <c:axId val="15308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352">
            <a:solidFill>
              <a:schemeClr val="tx1"/>
            </a:solidFill>
          </a:ln>
        </c:spPr>
        <c:crossAx val="181590272"/>
        <c:crosses val="autoZero"/>
        <c:auto val="1"/>
        <c:lblAlgn val="ctr"/>
        <c:lblOffset val="100"/>
        <c:noMultiLvlLbl val="0"/>
      </c:catAx>
      <c:valAx>
        <c:axId val="181590272"/>
        <c:scaling>
          <c:orientation val="minMax"/>
          <c:max val="25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352">
            <a:solidFill>
              <a:schemeClr val="tx1"/>
            </a:solidFill>
          </a:ln>
        </c:spPr>
        <c:crossAx val="15308736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50D2-1965-4357-BEA5-FED1734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20555</Characters>
  <Application>Microsoft Office Word</Application>
  <DocSecurity>4</DocSecurity>
  <Lines>708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Копытова</dc:creator>
  <cp:lastModifiedBy>Екатерина Г. Леонидова</cp:lastModifiedBy>
  <cp:revision>2</cp:revision>
  <cp:lastPrinted>2016-04-25T06:55:00Z</cp:lastPrinted>
  <dcterms:created xsi:type="dcterms:W3CDTF">2017-05-11T13:12:00Z</dcterms:created>
  <dcterms:modified xsi:type="dcterms:W3CDTF">2017-05-11T13:12:00Z</dcterms:modified>
</cp:coreProperties>
</file>