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40" w:rsidRDefault="00401820" w:rsidP="004018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0014C">
        <w:rPr>
          <w:rFonts w:ascii="Times New Roman" w:eastAsia="Times New Roman" w:hAnsi="Times New Roman" w:cs="Times New Roman"/>
          <w:b/>
          <w:sz w:val="24"/>
          <w:szCs w:val="24"/>
        </w:rPr>
        <w:t>УДК</w:t>
      </w:r>
      <w:r w:rsidR="00E466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46640" w:rsidRPr="00E466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338.1</w:t>
      </w:r>
      <w:r w:rsidR="00E466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1820" w:rsidRPr="00E46640" w:rsidRDefault="00401820" w:rsidP="004018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014C">
        <w:rPr>
          <w:rFonts w:ascii="Times New Roman" w:eastAsia="Times New Roman" w:hAnsi="Times New Roman" w:cs="Times New Roman"/>
          <w:b/>
          <w:sz w:val="24"/>
          <w:szCs w:val="24"/>
        </w:rPr>
        <w:t>ББК</w:t>
      </w:r>
      <w:r w:rsidR="00E466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46640" w:rsidRPr="00E466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65.05</w:t>
      </w:r>
    </w:p>
    <w:p w:rsidR="007F3FB5" w:rsidRPr="00A0014C" w:rsidRDefault="00957838" w:rsidP="00A034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14C">
        <w:rPr>
          <w:rFonts w:ascii="Times New Roman" w:eastAsia="Times New Roman" w:hAnsi="Times New Roman" w:cs="Times New Roman"/>
          <w:b/>
          <w:sz w:val="24"/>
          <w:szCs w:val="24"/>
        </w:rPr>
        <w:t>Лукин Е</w:t>
      </w:r>
      <w:r w:rsidR="00A0014C" w:rsidRPr="00A001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0014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0014C" w:rsidRPr="00A001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014C" w:rsidRPr="00A0014C" w:rsidRDefault="00A0014C" w:rsidP="00A001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14C">
        <w:rPr>
          <w:rFonts w:ascii="Times New Roman" w:eastAsia="Times New Roman" w:hAnsi="Times New Roman" w:cs="Times New Roman"/>
          <w:b/>
          <w:sz w:val="24"/>
          <w:szCs w:val="24"/>
        </w:rPr>
        <w:t>ТЕНДЕНЦИИ И ПЕРСПЕКТИВЫ РОСТА РОССИЙСКОЙ ЭКОНОМИКИ</w:t>
      </w:r>
    </w:p>
    <w:p w:rsidR="00957838" w:rsidRPr="00A0014C" w:rsidRDefault="00957838" w:rsidP="00A034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417" w:rsidRPr="00EC278C" w:rsidRDefault="00556482" w:rsidP="00A0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C278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 статье </w:t>
      </w:r>
      <w:r w:rsidR="00364417" w:rsidRPr="00EC278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проанализирована динамика </w:t>
      </w:r>
      <w:r w:rsidR="00957838" w:rsidRPr="00EC278C">
        <w:rPr>
          <w:rFonts w:ascii="Times New Roman" w:hAnsi="Times New Roman" w:cs="Times New Roman"/>
          <w:i/>
          <w:spacing w:val="-4"/>
          <w:sz w:val="24"/>
          <w:szCs w:val="24"/>
        </w:rPr>
        <w:t>основных макроэкономически</w:t>
      </w:r>
      <w:r w:rsidR="00364417" w:rsidRPr="00EC278C">
        <w:rPr>
          <w:rFonts w:ascii="Times New Roman" w:hAnsi="Times New Roman" w:cs="Times New Roman"/>
          <w:i/>
          <w:spacing w:val="-4"/>
          <w:sz w:val="24"/>
          <w:szCs w:val="24"/>
        </w:rPr>
        <w:t>х</w:t>
      </w:r>
      <w:r w:rsidR="00957838" w:rsidRPr="00EC278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показателей эк</w:t>
      </w:r>
      <w:r w:rsidR="00957838" w:rsidRPr="00EC278C">
        <w:rPr>
          <w:rFonts w:ascii="Times New Roman" w:hAnsi="Times New Roman" w:cs="Times New Roman"/>
          <w:i/>
          <w:spacing w:val="-4"/>
          <w:sz w:val="24"/>
          <w:szCs w:val="24"/>
        </w:rPr>
        <w:t>о</w:t>
      </w:r>
      <w:r w:rsidR="00957838" w:rsidRPr="00EC278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номики России </w:t>
      </w:r>
      <w:r w:rsidR="00364417" w:rsidRPr="00EC278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и отдельных ее секторов, </w:t>
      </w:r>
      <w:r w:rsidR="00957838" w:rsidRPr="00EC278C">
        <w:rPr>
          <w:rFonts w:ascii="Times New Roman" w:hAnsi="Times New Roman" w:cs="Times New Roman"/>
          <w:i/>
          <w:spacing w:val="-4"/>
          <w:sz w:val="24"/>
          <w:szCs w:val="24"/>
        </w:rPr>
        <w:t>обоснов</w:t>
      </w:r>
      <w:r w:rsidR="00364417" w:rsidRPr="00EC278C">
        <w:rPr>
          <w:rFonts w:ascii="Times New Roman" w:hAnsi="Times New Roman" w:cs="Times New Roman"/>
          <w:i/>
          <w:spacing w:val="-4"/>
          <w:sz w:val="24"/>
          <w:szCs w:val="24"/>
        </w:rPr>
        <w:t>ано</w:t>
      </w:r>
      <w:r w:rsidR="00957838" w:rsidRPr="00EC278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364417" w:rsidRPr="00EC278C">
        <w:rPr>
          <w:rFonts w:ascii="Times New Roman" w:hAnsi="Times New Roman" w:cs="Times New Roman"/>
          <w:i/>
          <w:spacing w:val="-4"/>
          <w:sz w:val="24"/>
          <w:szCs w:val="24"/>
        </w:rPr>
        <w:t>наличие системных проблем в существ</w:t>
      </w:r>
      <w:r w:rsidR="00364417" w:rsidRPr="00EC278C">
        <w:rPr>
          <w:rFonts w:ascii="Times New Roman" w:hAnsi="Times New Roman" w:cs="Times New Roman"/>
          <w:i/>
          <w:spacing w:val="-4"/>
          <w:sz w:val="24"/>
          <w:szCs w:val="24"/>
        </w:rPr>
        <w:t>у</w:t>
      </w:r>
      <w:r w:rsidR="00364417" w:rsidRPr="00EC278C">
        <w:rPr>
          <w:rFonts w:ascii="Times New Roman" w:hAnsi="Times New Roman" w:cs="Times New Roman"/>
          <w:i/>
          <w:spacing w:val="-4"/>
          <w:sz w:val="24"/>
          <w:szCs w:val="24"/>
        </w:rPr>
        <w:t>ющей экономической политике. В качестве ключевых из них выделены низкая технологичность и слабое регулирование общественного воспроизводственного процесса. Показаны предпосылки и возможные направления запуска нового качественного экономического роста в стране.</w:t>
      </w:r>
    </w:p>
    <w:p w:rsidR="003469A5" w:rsidRPr="00A0014C" w:rsidRDefault="00957838" w:rsidP="00A0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14C">
        <w:rPr>
          <w:rFonts w:ascii="Times New Roman" w:hAnsi="Times New Roman" w:cs="Times New Roman"/>
          <w:i/>
          <w:sz w:val="24"/>
          <w:szCs w:val="24"/>
        </w:rPr>
        <w:t>Экономический рост</w:t>
      </w:r>
      <w:r w:rsidR="003469A5" w:rsidRPr="00A0014C">
        <w:rPr>
          <w:rFonts w:ascii="Times New Roman" w:hAnsi="Times New Roman" w:cs="Times New Roman"/>
          <w:i/>
          <w:sz w:val="24"/>
          <w:szCs w:val="24"/>
        </w:rPr>
        <w:t xml:space="preserve">, мультипликатор добавленной стоимости, </w:t>
      </w:r>
      <w:r w:rsidRPr="00A0014C">
        <w:rPr>
          <w:rFonts w:ascii="Times New Roman" w:hAnsi="Times New Roman" w:cs="Times New Roman"/>
          <w:i/>
          <w:sz w:val="24"/>
          <w:szCs w:val="24"/>
        </w:rPr>
        <w:t>воспроизводстве</w:t>
      </w:r>
      <w:r w:rsidRPr="00A0014C">
        <w:rPr>
          <w:rFonts w:ascii="Times New Roman" w:hAnsi="Times New Roman" w:cs="Times New Roman"/>
          <w:i/>
          <w:sz w:val="24"/>
          <w:szCs w:val="24"/>
        </w:rPr>
        <w:t>н</w:t>
      </w:r>
      <w:r w:rsidRPr="00A0014C">
        <w:rPr>
          <w:rFonts w:ascii="Times New Roman" w:hAnsi="Times New Roman" w:cs="Times New Roman"/>
          <w:i/>
          <w:sz w:val="24"/>
          <w:szCs w:val="24"/>
        </w:rPr>
        <w:t>ный процесс</w:t>
      </w:r>
      <w:r w:rsidR="003469A5" w:rsidRPr="00A0014C">
        <w:rPr>
          <w:rFonts w:ascii="Times New Roman" w:hAnsi="Times New Roman" w:cs="Times New Roman"/>
          <w:i/>
          <w:sz w:val="24"/>
          <w:szCs w:val="24"/>
        </w:rPr>
        <w:t>.</w:t>
      </w:r>
    </w:p>
    <w:p w:rsidR="00A0014C" w:rsidRDefault="00A0014C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5809" w:rsidRDefault="00DA2EB5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Динамика ключевых макроэкономических показателей указывает на некоторое ожи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в российской экономике в последнее время. 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A001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квартале 2016 г. на фоне низкой базы наблюдается </w:t>
      </w:r>
      <w:r w:rsidR="00EC278C">
        <w:rPr>
          <w:rFonts w:ascii="Times New Roman" w:eastAsia="Calibri" w:hAnsi="Times New Roman" w:cs="Times New Roman"/>
          <w:sz w:val="24"/>
          <w:szCs w:val="24"/>
          <w:lang w:eastAsia="en-US"/>
        </w:rPr>
        <w:t>рост ВВП на 0,3% (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рис. 1).</w:t>
      </w:r>
      <w:r w:rsidR="00EC27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Позитивная динамика характерна прежде всего для реального сектора экономики. В</w:t>
      </w:r>
      <w:r w:rsidR="00A0344E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A50753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всех</w:t>
      </w:r>
      <w:r w:rsidR="00A0344E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</w:t>
      </w:r>
      <w:r w:rsidR="00A50753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="00A0344E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 г.</w:t>
      </w:r>
      <w:r w:rsidR="00A50753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</w:t>
      </w:r>
      <w:r w:rsidR="00A50753" w:rsidRPr="00A001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A50753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квартале 2017 г. </w:t>
      </w:r>
      <w:r w:rsidR="00A0344E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фиксир</w:t>
      </w:r>
      <w:r w:rsidR="00A50753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уется</w:t>
      </w:r>
      <w:r w:rsidR="00A0344E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рост промпроизводства (</w:t>
      </w:r>
      <w:r w:rsidR="00A50753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101,1; 101,5; 101,0; 101,7 и 100,1% соответственно</w:t>
      </w:r>
      <w:r w:rsidR="00A0344E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="002D731C">
        <w:rPr>
          <w:rFonts w:ascii="Times New Roman" w:eastAsia="Calibri" w:hAnsi="Times New Roman" w:cs="Times New Roman"/>
          <w:sz w:val="24"/>
          <w:szCs w:val="24"/>
          <w:lang w:eastAsia="en-US"/>
        </w:rPr>
        <w:t>17 кварталов подряд растет сельское хозяйство.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Эти процессы сопровождаются ростом грузооборота транспорта.</w:t>
      </w:r>
    </w:p>
    <w:p w:rsidR="00975BF1" w:rsidRPr="00A0014C" w:rsidRDefault="00975BF1" w:rsidP="00975B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99C589A" wp14:editId="3DFFEE1A">
            <wp:extent cx="6120130" cy="2836142"/>
            <wp:effectExtent l="0" t="0" r="0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4417" w:rsidRPr="00A0014C" w:rsidRDefault="00A0344E" w:rsidP="008C58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1</w:t>
      </w:r>
      <w:r w:rsidR="00A0014C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A0014C">
        <w:rPr>
          <w:rFonts w:ascii="Times New Roman" w:hAnsi="Times New Roman" w:cs="Times New Roman"/>
          <w:sz w:val="24"/>
          <w:szCs w:val="24"/>
        </w:rPr>
        <w:t xml:space="preserve"> 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Динамика ключевых показателей экономики РФ, </w:t>
      </w:r>
      <w:r w:rsidR="00A0014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% к предыдущему периоду</w:t>
      </w:r>
    </w:p>
    <w:p w:rsidR="00A0344E" w:rsidRPr="00A0014C" w:rsidRDefault="00A0344E" w:rsidP="00A0344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Росстат.</w:t>
      </w:r>
    </w:p>
    <w:p w:rsidR="00364417" w:rsidRDefault="00364417" w:rsidP="00A034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A50753" w:rsidRPr="00E46640" w:rsidRDefault="00EC278C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lastRenderedPageBreak/>
        <w:t>При этом в</w:t>
      </w:r>
      <w:r w:rsidR="00DA2EB5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потребительском секторе ситуация в целом ухудшается. </w:t>
      </w:r>
      <w:r w:rsidR="00364417"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Реальные денежные доходы сокращаются с 2014 г.</w:t>
      </w:r>
      <w:r w:rsidR="00A0344E"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(рис. 2).</w:t>
      </w:r>
      <w:r w:rsidR="00364417"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К </w:t>
      </w:r>
      <w:r w:rsidR="00975BF1"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сожалению,</w:t>
      </w:r>
      <w:r w:rsidR="00364417"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в 2016 г., в след за </w:t>
      </w:r>
      <w:r w:rsidR="00364417" w:rsidRPr="00E4664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позитивной</w:t>
      </w:r>
      <w:r w:rsidR="00364417"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динамикой некоторых других показателей, не последовало улучшение ситуации с доходами. </w:t>
      </w:r>
      <w:r w:rsidR="00DA2EB5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Однако есть и некоторые позитивные моменты. </w:t>
      </w:r>
      <w:r w:rsid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В последние 4 квартала обозначился рост реальных зарплат работников (</w:t>
      </w:r>
      <w:r w:rsidR="002D731C" w:rsidRP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100,3</w:t>
      </w:r>
      <w:r w:rsid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; </w:t>
      </w:r>
      <w:r w:rsidR="002D731C" w:rsidRP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101,2</w:t>
      </w:r>
      <w:r w:rsid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; </w:t>
      </w:r>
      <w:r w:rsidR="002D731C" w:rsidRP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101,8</w:t>
      </w:r>
      <w:r w:rsid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и </w:t>
      </w:r>
      <w:r w:rsidR="002D731C" w:rsidRP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101,9</w:t>
      </w:r>
      <w:r w:rsid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%), в </w:t>
      </w:r>
      <w:r w:rsidR="002D731C">
        <w:rPr>
          <w:rFonts w:ascii="Times New Roman" w:eastAsia="Calibri" w:hAnsi="Times New Roman" w:cs="Times New Roman"/>
          <w:spacing w:val="-4"/>
          <w:sz w:val="24"/>
          <w:szCs w:val="26"/>
          <w:lang w:val="en-US" w:eastAsia="en-US"/>
        </w:rPr>
        <w:t>I</w:t>
      </w:r>
      <w:r w:rsidR="002D731C" w:rsidRP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</w:t>
      </w:r>
      <w:r w:rsid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квартале 2017 г. на </w:t>
      </w:r>
      <w:r w:rsidR="002D731C" w:rsidRP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11,9</w:t>
      </w:r>
      <w:r w:rsidR="002D731C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% увеличилась реальная пенсия (после 9 кварталов подряд снижения). </w:t>
      </w:r>
      <w:r w:rsidR="00A50753"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Инфляция довольно стабильна – 1-2% в квартал (за исключением всплеска в </w:t>
      </w:r>
      <w:r w:rsidR="00A50753" w:rsidRPr="00E46640">
        <w:rPr>
          <w:rFonts w:ascii="Times New Roman" w:eastAsia="Calibri" w:hAnsi="Times New Roman" w:cs="Times New Roman"/>
          <w:spacing w:val="-4"/>
          <w:sz w:val="24"/>
          <w:szCs w:val="26"/>
          <w:lang w:val="en-US" w:eastAsia="en-US"/>
        </w:rPr>
        <w:t>I</w:t>
      </w:r>
      <w:r w:rsidR="00A50753"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квартале 2015 г. – 7,4%). </w:t>
      </w:r>
    </w:p>
    <w:p w:rsidR="00975BF1" w:rsidRPr="00364417" w:rsidRDefault="00975BF1" w:rsidP="00364417">
      <w:pPr>
        <w:spacing w:after="0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noProof/>
        </w:rPr>
        <w:drawing>
          <wp:inline distT="0" distB="0" distL="0" distR="0" wp14:anchorId="0FE8D891" wp14:editId="6C37E6E0">
            <wp:extent cx="6114197" cy="2538484"/>
            <wp:effectExtent l="0" t="0" r="12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344E" w:rsidRPr="00A0014C" w:rsidRDefault="00A0344E" w:rsidP="00A001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2</w:t>
      </w:r>
      <w:r w:rsid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Динамика ключевых показателей экономики РФ, </w:t>
      </w:r>
      <w:r w:rsidR="00A0014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% к предыдущему периоду</w:t>
      </w:r>
    </w:p>
    <w:p w:rsidR="00A0344E" w:rsidRPr="00A0344E" w:rsidRDefault="00A0344E" w:rsidP="00A0344E">
      <w:pPr>
        <w:spacing w:after="0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Росстат.</w:t>
      </w:r>
    </w:p>
    <w:p w:rsidR="00A0014C" w:rsidRDefault="00A0014C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2EB5" w:rsidRPr="00DA2EB5" w:rsidRDefault="00DA2EB5" w:rsidP="00DA2E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след за сокращение доходов населения сокращаются объемы розничной торговли и платных услуг населения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(рис. 4).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Некоторое оживление</w:t>
      </w:r>
      <w:r w:rsidR="00EC278C">
        <w:rPr>
          <w:rFonts w:ascii="Times New Roman" w:eastAsia="Calibri" w:hAnsi="Times New Roman" w:cs="Times New Roman"/>
          <w:sz w:val="24"/>
          <w:szCs w:val="24"/>
          <w:lang w:eastAsia="en-US"/>
        </w:rPr>
        <w:t>, обусловившее рост реального пр</w:t>
      </w:r>
      <w:r w:rsidR="00EC278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C278C">
        <w:rPr>
          <w:rFonts w:ascii="Times New Roman" w:eastAsia="Calibri" w:hAnsi="Times New Roman" w:cs="Times New Roman"/>
          <w:sz w:val="24"/>
          <w:szCs w:val="24"/>
          <w:lang w:eastAsia="en-US"/>
        </w:rPr>
        <w:t>изводства,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намечается во внешней торговле. В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DA2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квартале 2016 г. экспорт вырос на 1,8%, импорт – на 8,8%.</w:t>
      </w:r>
    </w:p>
    <w:p w:rsidR="00DA2EB5" w:rsidRDefault="00DA2EB5" w:rsidP="00DA2E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noProof/>
        </w:rPr>
        <w:drawing>
          <wp:inline distT="0" distB="0" distL="0" distR="0" wp14:anchorId="36347A33" wp14:editId="1640BED6">
            <wp:extent cx="6114197" cy="2415653"/>
            <wp:effectExtent l="0" t="0" r="127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2EB5" w:rsidRPr="00A0014C" w:rsidRDefault="00DA2EB5" w:rsidP="00DA2E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Динамика развития ключевых секторов экономики РФ,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% к предыдущему периоду</w:t>
      </w:r>
    </w:p>
    <w:p w:rsidR="00DA2EB5" w:rsidRPr="00A0014C" w:rsidRDefault="00DA2EB5" w:rsidP="00DA2EB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Источник: Росстат.</w:t>
      </w:r>
    </w:p>
    <w:p w:rsidR="00DA2EB5" w:rsidRDefault="00DA2EB5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31C" w:rsidRDefault="002D731C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</w:pPr>
      <w:r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Последние три квартала растет занятость, сокращается безработица</w:t>
      </w:r>
      <w:r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(рис. 3)</w:t>
      </w:r>
      <w:r w:rsidRPr="00E46640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.</w:t>
      </w:r>
    </w:p>
    <w:p w:rsidR="002D731C" w:rsidRDefault="002D731C" w:rsidP="002D731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DAB2AF9" wp14:editId="04F42BE5">
            <wp:extent cx="6114197" cy="2415653"/>
            <wp:effectExtent l="0" t="0" r="127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731C" w:rsidRPr="00A0014C" w:rsidRDefault="002D731C" w:rsidP="002D73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Рисунок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Динамика ключевых показателей экономики РФ,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% к предыдущему периоду</w:t>
      </w:r>
    </w:p>
    <w:p w:rsidR="002D731C" w:rsidRDefault="002D731C" w:rsidP="002D731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Росстат.</w:t>
      </w:r>
    </w:p>
    <w:p w:rsidR="002D731C" w:rsidRDefault="002D731C" w:rsidP="002D731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BF1" w:rsidRDefault="00EC278C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 с</w:t>
      </w:r>
      <w:r w:rsidR="002D731C">
        <w:rPr>
          <w:rFonts w:ascii="Times New Roman" w:eastAsia="Calibri" w:hAnsi="Times New Roman" w:cs="Times New Roman"/>
          <w:sz w:val="24"/>
          <w:szCs w:val="24"/>
          <w:lang w:eastAsia="en-US"/>
        </w:rPr>
        <w:t>ложная ситуация сохраняется в инвестиционном секторе экономики (рис. 4). Р</w:t>
      </w:r>
      <w:r w:rsidR="00975BF1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ост</w:t>
      </w:r>
      <w:r w:rsidR="002D73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инвестиций</w:t>
      </w:r>
      <w:r w:rsidR="00975BF1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(100,5%) был зафиксирован только в одном из 10 последних кварталов.</w:t>
      </w:r>
      <w:r w:rsidR="002D73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Из-за сокращения доходов населения п</w:t>
      </w:r>
      <w:r w:rsidR="002D731C">
        <w:rPr>
          <w:rFonts w:ascii="Times New Roman" w:eastAsia="Calibri" w:hAnsi="Times New Roman" w:cs="Times New Roman"/>
          <w:sz w:val="24"/>
          <w:szCs w:val="24"/>
          <w:lang w:eastAsia="en-US"/>
        </w:rPr>
        <w:t>адают объемы строительства и ввода в действие ж</w:t>
      </w:r>
      <w:r w:rsidR="002D731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D731C">
        <w:rPr>
          <w:rFonts w:ascii="Times New Roman" w:eastAsia="Calibri" w:hAnsi="Times New Roman" w:cs="Times New Roman"/>
          <w:sz w:val="24"/>
          <w:szCs w:val="24"/>
          <w:lang w:eastAsia="en-US"/>
        </w:rPr>
        <w:t>лых до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мов, что оказывает понижающее влияние на спрос на продукцию инвестиционных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раслей промышленности.</w:t>
      </w:r>
    </w:p>
    <w:p w:rsidR="00975BF1" w:rsidRDefault="002D731C" w:rsidP="002D73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81D5DFD" wp14:editId="5E5D64AB">
            <wp:extent cx="6120130" cy="2834247"/>
            <wp:effectExtent l="0" t="0" r="0" b="44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731C" w:rsidRPr="00A0014C" w:rsidRDefault="002D731C" w:rsidP="002D73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Рисунок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Динамика ключевых показателей экономики РФ,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% к предыдущему периоду</w:t>
      </w:r>
    </w:p>
    <w:p w:rsidR="002D731C" w:rsidRDefault="002D731C" w:rsidP="002D731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Росстат.</w:t>
      </w:r>
    </w:p>
    <w:p w:rsidR="002D731C" w:rsidRDefault="002D731C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417" w:rsidRPr="00A0014C" w:rsidRDefault="00636B11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Как уже отмечалось</w:t>
      </w:r>
      <w:r w:rsidR="0087356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промышленное производство</w:t>
      </w:r>
      <w:r w:rsidR="008735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возобновило рост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64417" w:rsidRPr="00636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отраслевом разрезе наблюдается </w:t>
      </w:r>
      <w:r w:rsidR="00873563">
        <w:rPr>
          <w:rFonts w:ascii="Times New Roman" w:eastAsia="Calibri" w:hAnsi="Times New Roman" w:cs="Times New Roman"/>
          <w:sz w:val="24"/>
          <w:szCs w:val="24"/>
          <w:lang w:eastAsia="en-US"/>
        </w:rPr>
        <w:t>он характерен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</w:t>
      </w:r>
      <w:r w:rsidR="008735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добыч</w:t>
      </w:r>
      <w:r w:rsidR="0087356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полезных ископаемых</w:t>
      </w:r>
      <w:r w:rsidR="00873563">
        <w:rPr>
          <w:rFonts w:ascii="Times New Roman" w:eastAsia="Calibri" w:hAnsi="Times New Roman" w:cs="Times New Roman"/>
          <w:sz w:val="24"/>
          <w:szCs w:val="24"/>
          <w:lang w:eastAsia="en-US"/>
        </w:rPr>
        <w:t>, так и для энерг</w:t>
      </w:r>
      <w:r w:rsidR="0087356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873563">
        <w:rPr>
          <w:rFonts w:ascii="Times New Roman" w:eastAsia="Calibri" w:hAnsi="Times New Roman" w:cs="Times New Roman"/>
          <w:sz w:val="24"/>
          <w:szCs w:val="24"/>
          <w:lang w:eastAsia="en-US"/>
        </w:rPr>
        <w:t>тики и обработки (</w:t>
      </w:r>
      <w:r w:rsidR="00A0344E" w:rsidRPr="00636B11">
        <w:rPr>
          <w:rFonts w:ascii="Times New Roman" w:eastAsia="Calibri" w:hAnsi="Times New Roman" w:cs="Times New Roman"/>
          <w:sz w:val="24"/>
          <w:szCs w:val="24"/>
          <w:lang w:eastAsia="en-US"/>
        </w:rPr>
        <w:t>рис. 3)</w:t>
      </w:r>
      <w:r w:rsidR="00364417" w:rsidRPr="00636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36B11" w:rsidRDefault="00636B11" w:rsidP="00FE19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noProof/>
        </w:rPr>
        <w:drawing>
          <wp:inline distT="0" distB="0" distL="0" distR="0" wp14:anchorId="2587C739" wp14:editId="495FEC68">
            <wp:extent cx="5759355" cy="296156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1965" w:rsidRPr="00A0014C" w:rsidRDefault="00FE1965" w:rsidP="00A001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Рисунок </w:t>
      </w:r>
      <w:r w:rsidR="00EC278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Динамика </w:t>
      </w:r>
      <w:r w:rsidR="00636B11">
        <w:rPr>
          <w:rFonts w:ascii="Times New Roman" w:eastAsia="Calibri" w:hAnsi="Times New Roman" w:cs="Times New Roman"/>
          <w:sz w:val="24"/>
          <w:szCs w:val="24"/>
          <w:lang w:eastAsia="en-US"/>
        </w:rPr>
        <w:t>промышленного производства РФ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0014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% к предыдущему периоду</w:t>
      </w:r>
    </w:p>
    <w:p w:rsidR="00FE1965" w:rsidRDefault="00FE1965" w:rsidP="00FE196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Росстат.</w:t>
      </w:r>
    </w:p>
    <w:p w:rsidR="00A0014C" w:rsidRDefault="00A0014C" w:rsidP="00043A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563" w:rsidRDefault="00873563" w:rsidP="00043A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Относительно неплохо себя чувствуют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отрасли промышленности конечного спроса – в 2016 г. </w:t>
      </w:r>
      <w:r w:rsidRPr="00636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пищевая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отрасль выросла на 2,4%, легкая – на 5,3% (рис. 6).</w:t>
      </w:r>
    </w:p>
    <w:p w:rsidR="00FE1965" w:rsidRDefault="00636B11" w:rsidP="00636B1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AFEC2F0" wp14:editId="2A9DFBF1">
            <wp:extent cx="5759356" cy="2279176"/>
            <wp:effectExtent l="0" t="0" r="0" b="69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6B11" w:rsidRPr="00A0014C" w:rsidRDefault="00636B11" w:rsidP="00636B1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Рисунок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Динамика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производства отраслей промышленности конечного спроса РФ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% к предыдущему периоду</w:t>
      </w:r>
    </w:p>
    <w:p w:rsidR="00636B11" w:rsidRDefault="00636B11" w:rsidP="00636B1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Росстат.</w:t>
      </w:r>
    </w:p>
    <w:p w:rsidR="00636B11" w:rsidRDefault="00636B11" w:rsidP="008735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563" w:rsidRDefault="00873563" w:rsidP="008735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Разнонаправленную динамику демонстрируют эспортоориентованные отрасли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межуточного спроса. </w:t>
      </w:r>
      <w:r w:rsidR="00E86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Рост в 2016 г. показали химическое производство и деревопереработка </w:t>
      </w:r>
      <w:r w:rsidR="00E868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(5,3 и 1,4% соответственно). Снижение объемов – металлургия, производство кокса и нефт</w:t>
      </w:r>
      <w:r w:rsidR="00E868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E86880">
        <w:rPr>
          <w:rFonts w:ascii="Times New Roman" w:eastAsia="Calibri" w:hAnsi="Times New Roman" w:cs="Times New Roman"/>
          <w:sz w:val="24"/>
          <w:szCs w:val="24"/>
          <w:lang w:eastAsia="en-US"/>
        </w:rPr>
        <w:t>продуктов (2,3 и 2,4% соответственно).</w:t>
      </w:r>
    </w:p>
    <w:p w:rsidR="00636B11" w:rsidRDefault="00636B11" w:rsidP="00636B1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5D6C7FC" wp14:editId="6E62BAC2">
            <wp:extent cx="5759355" cy="3070746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36B11" w:rsidRPr="00A0014C" w:rsidRDefault="00636B11" w:rsidP="00636B1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Рисунок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Динамика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производства отраслей промышленности промежуточного спроса РФ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% к предыдущему периоду</w:t>
      </w:r>
    </w:p>
    <w:p w:rsidR="00636B11" w:rsidRDefault="00636B11" w:rsidP="00636B1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Росстат.</w:t>
      </w:r>
    </w:p>
    <w:p w:rsidR="00873563" w:rsidRDefault="00873563" w:rsidP="008735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6B11" w:rsidRDefault="00873563" w:rsidP="008735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6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 хочется отметить </w:t>
      </w:r>
      <w:r w:rsidR="00E86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продолжающийся </w:t>
      </w:r>
      <w:r w:rsidRPr="00636B11">
        <w:rPr>
          <w:rFonts w:ascii="Times New Roman" w:eastAsia="Calibri" w:hAnsi="Times New Roman" w:cs="Times New Roman"/>
          <w:sz w:val="24"/>
          <w:szCs w:val="24"/>
          <w:lang w:eastAsia="en-US"/>
        </w:rPr>
        <w:t>спад в секторе инвестиционного спроса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(рис. 8)</w:t>
      </w:r>
      <w:r w:rsidRPr="00636B11">
        <w:rPr>
          <w:rFonts w:ascii="Times New Roman" w:eastAsia="Calibri" w:hAnsi="Times New Roman" w:cs="Times New Roman"/>
          <w:sz w:val="24"/>
          <w:szCs w:val="24"/>
          <w:lang w:eastAsia="en-US"/>
        </w:rPr>
        <w:t>. Это плохой сигнал о будущей динамике инвестиций.</w:t>
      </w:r>
    </w:p>
    <w:p w:rsidR="00636B11" w:rsidRDefault="00636B11" w:rsidP="00636B1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5ABBC98" wp14:editId="72808A82">
            <wp:extent cx="5759355" cy="326181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6B11" w:rsidRPr="00A0014C" w:rsidRDefault="00636B11" w:rsidP="00636B1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Рисунок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Динамика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производства отраслей промышленности инвестиционного спроса РФ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% к предыдущему периоду</w:t>
      </w:r>
    </w:p>
    <w:p w:rsidR="00636B11" w:rsidRDefault="00636B11" w:rsidP="00636B1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Росстат.</w:t>
      </w:r>
    </w:p>
    <w:p w:rsidR="00873563" w:rsidRDefault="00873563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417" w:rsidRPr="00A0014C" w:rsidRDefault="00873563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целом, н</w:t>
      </w:r>
      <w:r w:rsidR="00797BF3">
        <w:rPr>
          <w:rFonts w:ascii="Times New Roman" w:eastAsia="Calibri" w:hAnsi="Times New Roman" w:cs="Times New Roman"/>
          <w:sz w:val="24"/>
          <w:szCs w:val="24"/>
          <w:lang w:eastAsia="en-US"/>
        </w:rPr>
        <w:t>есмотря на наличие некоторых положительных моментов, п</w:t>
      </w:r>
      <w:r w:rsidR="00364417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редставленные данные позволяют констатировать </w:t>
      </w:r>
      <w:r w:rsidR="00797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глубокий </w:t>
      </w:r>
      <w:r w:rsidR="00364417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кризис российской экономик</w:t>
      </w:r>
      <w:r w:rsidR="00797BF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364417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наличие с</w:t>
      </w:r>
      <w:r w:rsidR="00364417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364417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стемных проблем в существующей экономической политике. Проводимые в нашем инстит</w:t>
      </w:r>
      <w:r w:rsidR="00364417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364417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те исследования позволяют выделить ключевые из них.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Первая из них – это короткие технологические цепочки. Наша экономика в основном ограничивается первичным переделом сырьевых ресурсов, сокращая тем самым свои поте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циальные доходы, часть из которых можно было бы использовать для модернизации прои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водств. Такое положение вещей негативно сказывается на конкурентоспособности выпуск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емой продукции, производительности труда, технологическом уровне производств и т.д.</w:t>
      </w:r>
    </w:p>
    <w:p w:rsidR="00364417" w:rsidRPr="00E46640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E4664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Недостаточную глубину переработки сырьевых ресурсов в экономике России наглядно демонстрирует мультипликатор добавленной стоимости</w:t>
      </w:r>
      <w:r w:rsidR="00FE1965" w:rsidRPr="00E4664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(рис. 5)</w:t>
      </w:r>
      <w:r w:rsidRPr="00E4664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Он существенно ниже уровня развитых стран. Исчисляется он отношением совокупной величины товарной массы к стоимости первичных сырьевых ресурсов.</w:t>
      </w:r>
      <w:r w:rsidR="00A0344E" w:rsidRPr="00E4664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4664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Крайне низкая величина мультипликатора добавленной стоим</w:t>
      </w:r>
      <w:r w:rsidRPr="00E4664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о</w:t>
      </w:r>
      <w:r w:rsidRPr="00E4664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сти исчерпывающе характеризует природу нынешнего экономического развития, при котором экономика России выступает сырьевым источником для экономик развитых стран. </w:t>
      </w:r>
    </w:p>
    <w:p w:rsidR="00A0344E" w:rsidRPr="00364417" w:rsidRDefault="00A0344E" w:rsidP="00A0344E">
      <w:pPr>
        <w:spacing w:after="0"/>
        <w:jc w:val="center"/>
        <w:rPr>
          <w:rFonts w:ascii="Times New Roman" w:eastAsia="Calibri" w:hAnsi="Times New Roman" w:cs="Times New Roman"/>
          <w:spacing w:val="-4"/>
          <w:sz w:val="28"/>
          <w:szCs w:val="26"/>
          <w:lang w:eastAsia="en-US"/>
        </w:rPr>
      </w:pPr>
      <w:r w:rsidRPr="00A0344E">
        <w:rPr>
          <w:rFonts w:ascii="Times New Roman" w:eastAsia="Calibri" w:hAnsi="Times New Roman" w:cs="Times New Roman"/>
          <w:noProof/>
          <w:spacing w:val="-4"/>
          <w:sz w:val="28"/>
          <w:szCs w:val="26"/>
        </w:rPr>
        <w:drawing>
          <wp:inline distT="0" distB="0" distL="0" distR="0" wp14:anchorId="6B819115" wp14:editId="64A7D11B">
            <wp:extent cx="6120130" cy="190507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344E" w:rsidRPr="00A0014C" w:rsidRDefault="00A0344E" w:rsidP="00A001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5</w:t>
      </w:r>
      <w:r w:rsid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Динамика мультипликатора добавленной стоимости в экономике</w:t>
      </w:r>
    </w:p>
    <w:p w:rsidR="00A0344E" w:rsidRPr="00A0014C" w:rsidRDefault="00A0344E" w:rsidP="00A0344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рассчитано автором на основе данных Росстата, BEA.</w:t>
      </w:r>
    </w:p>
    <w:p w:rsidR="00A0344E" w:rsidRPr="00A0014C" w:rsidRDefault="00A0344E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качества экономического роста возможно только за счет разворота к выс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котехнологическому развитию.</w:t>
      </w:r>
      <w:r w:rsidR="00FE1965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1965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этом 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возникает вторая проблема – слабое госуда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ственное регулирование воспроизводственного процесса.</w:t>
      </w:r>
    </w:p>
    <w:p w:rsidR="00A0344E" w:rsidRPr="00E46640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E4664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Во-первых, следует отметить, что на цели инвестирования используется далеко не все потенциально возможные для этого средства. Валовое накопление основного капитала в 2015 г. составило 17,7 трлн. руб., или 22% ВВП (это существенно ниже, чем необходимо для ос</w:t>
      </w:r>
      <w:r w:rsidRPr="00E4664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у</w:t>
      </w:r>
      <w:r w:rsidRPr="00E4664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ществления модернизации экономики</w:t>
      </w:r>
      <w:r w:rsidR="00A0344E" w:rsidRPr="00E4664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; таблица</w:t>
      </w:r>
      <w:r w:rsidRPr="00E4664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). Реальный же инвестиционный потенциал намного выше и уменьшается, главным образом, чрезмерными величинами чистого экспорта и чистого вывоза капитала. Чистое кредитование других стран в 2015 г. достигло величины в 4,2 </w:t>
      </w:r>
      <w:r w:rsidRPr="00E4664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lastRenderedPageBreak/>
        <w:t xml:space="preserve">трлн. руб., или 5,3% ВВП. </w:t>
      </w:r>
      <w:r w:rsidR="00A0344E" w:rsidRPr="00E4664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Это снижает валовое накопление на 10-15% от возможностей, выт</w:t>
      </w:r>
      <w:r w:rsidR="00A0344E" w:rsidRPr="00E4664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="00A0344E" w:rsidRPr="00E4664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кающих из объемов сбережений. Экономика испытывает недостаток инвестиций.</w:t>
      </w:r>
    </w:p>
    <w:p w:rsidR="00A0344E" w:rsidRPr="00A0014C" w:rsidRDefault="00A0344E" w:rsidP="00A001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</w:t>
      </w:r>
      <w:r w:rsid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Структура использования ВВП и финансового потенциала накопления, %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946"/>
        <w:gridCol w:w="946"/>
        <w:gridCol w:w="1096"/>
        <w:gridCol w:w="1096"/>
        <w:gridCol w:w="1127"/>
      </w:tblGrid>
      <w:tr w:rsidR="00A0344E" w:rsidRPr="00A0344E" w:rsidTr="00E67FDF">
        <w:trPr>
          <w:trHeight w:val="45"/>
        </w:trPr>
        <w:tc>
          <w:tcPr>
            <w:tcW w:w="23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4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2014 г.</w:t>
            </w:r>
          </w:p>
        </w:tc>
        <w:tc>
          <w:tcPr>
            <w:tcW w:w="4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2015 г. (оценка)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2016 г.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г.</w:t>
            </w:r>
          </w:p>
        </w:tc>
      </w:tr>
      <w:tr w:rsidR="00A0344E" w:rsidRPr="00A0344E" w:rsidTr="00E67FDF">
        <w:tc>
          <w:tcPr>
            <w:tcW w:w="23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Прогноз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ВВП использованный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 Расходы на конечное потребление, в т.ч.: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73,2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71,5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домашних хозяйств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54,4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54,1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государственного управления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17,0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 Валовое накопление, в т.ч.: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17,4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21,6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валовое накопление основного капитала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19,5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изменение запасов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-0,3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-2,5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2,1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 Чистый экспорт, в т.ч.: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7,5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экспорт товаров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29,1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импорт товаров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23,7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21,6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Статистическое расхождение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-0,6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-0,2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-1,0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-0,8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-0,6</w:t>
            </w:r>
          </w:p>
        </w:tc>
      </w:tr>
      <w:tr w:rsidR="00A0344E" w:rsidRPr="00A0344E" w:rsidTr="00A0344E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Справочно: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Валовое сбережение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23,8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26,0</w:t>
            </w:r>
          </w:p>
        </w:tc>
      </w:tr>
      <w:tr w:rsidR="00A0344E" w:rsidRPr="00A0344E" w:rsidTr="00E67FDF">
        <w:tc>
          <w:tcPr>
            <w:tcW w:w="2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Чистое кредитование (+), чистое заимствование (-)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44E" w:rsidRPr="00A0344E" w:rsidRDefault="00A0344E" w:rsidP="00A0344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034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4,4</w:t>
            </w:r>
          </w:p>
        </w:tc>
      </w:tr>
    </w:tbl>
    <w:p w:rsidR="00A0344E" w:rsidRPr="00A0014C" w:rsidRDefault="00A0344E" w:rsidP="00A001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Источник: Росстат, Минэкономразвития.</w:t>
      </w:r>
    </w:p>
    <w:p w:rsidR="00A0344E" w:rsidRPr="00A0014C" w:rsidRDefault="00A0344E" w:rsidP="00A034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Во-вторых, надо сказать о неэффективном использовании инвестиционного потенц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ала. Норма накопления промышленного капитала (т.е. ввод основных средств в обрабатыв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ющих производствах) составляет всего 1,3% ВВП (в США – 15% ВВП).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К сожалению, экономические власти не видят в этом проблемы. Судя по размеще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ному Минэкономразвития прогнозу, норма накопления основного капитала на ближайшие годы замораживается на уровне 19,5% ВВП.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2016 г. в российской экономике сложился уникальный набор позитивных факторов. 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Во-первых, произошла адаптация экономики к новым ценовым пропорциям, обесп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чившая рост прибыльности большинства видов экономической деятельности. 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Во-вторых, в результате спада значимая часть высокоэффективных производственных мощностей, введенных в строй в последние 5-7 лет, оказалась незагруженной. 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В-третьих, численность занятых в реальном секторе из-за низких темпов высвобожд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ния работников соответствует более высоким параметрам выпуска, что отчасти снимает пр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блему ограничений по трудовым ресурсам и позволяет достаточно быстро наращивать объ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производства. 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В-четвертых, произошло вытеснение импорта с внутреннего рынка, обеспечившее значительное пространство для расширения спроса на отечественную продукцию.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Реализовать имеющиеся возможности позволит корректировка государственной эк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номической политики. Ее основная задача на ближайшую перспективу должна заключаться в том, чтобы, опираясь на внутренние источники финансирования, трансформировать име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щиеся предпосылки в действующие факторы роста.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Исходя из анализа развития экономики, выявленных проблем в сфере регулирования общественного воспроизводства и имеющихся ресурсов и предпосылок восстановления эк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номического роста в России, анализа экспертных заключений (В.В. Ивантер, А.А. Широв, Е.Б. Ленчук, И.А. Погосов, С.С. Губанов, О.С. Сухарев и др.) приоритетными направлениями государственной экономической политики должно стать: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– стимулирование активности экономической деятельности в реальном секторе эк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номики; межотраслевой баланс доказывает, что реальный сектор обладает наибольшим мультипликативным эффектом и выступает локомотивом роста всей экономики: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 развитие внутреннего потребительского и инвестиционного спроса; </w:t>
      </w:r>
    </w:p>
    <w:p w:rsidR="00364417" w:rsidRPr="00A0014C" w:rsidRDefault="00364417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– переход к</w:t>
      </w:r>
      <w:r w:rsidR="00E67FDF"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инновационной модели экономики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, проведение новой наукоемкой инд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стриализации страны.</w:t>
      </w:r>
    </w:p>
    <w:p w:rsidR="00CE022F" w:rsidRDefault="00CE022F" w:rsidP="00CE02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022F" w:rsidRDefault="00CE022F" w:rsidP="00CE022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E67FDF" w:rsidRPr="00A0014C" w:rsidRDefault="00E67FDF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1. Восстановление экономического роста в России: научный доклад / Руководитель и отв. редактор: академик В.В. Ивантер. – М., 2016. – 32 с.</w:t>
      </w:r>
    </w:p>
    <w:p w:rsidR="00E67FDF" w:rsidRPr="00A0014C" w:rsidRDefault="00E67FDF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2. Губанов С. Трудовая парадигма: А. Смит против «неоклассики» // Экономист. 2009. № 3.</w:t>
      </w:r>
    </w:p>
    <w:p w:rsidR="00E67FDF" w:rsidRPr="00A0014C" w:rsidRDefault="00E67FDF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3. Губанов, С. Неоиндустриализация плюс вертикальная интеграция (о формуле ра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вития России) [Текст] / С. Губанов // Экономист. – 2008. – № 9. – С. 3-27.</w:t>
      </w:r>
    </w:p>
    <w:p w:rsidR="00E67FDF" w:rsidRPr="00A0014C" w:rsidRDefault="00E67FDF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 Леонтьев, В.В. Межотраслевая экономика [Текст] / В.В. Леонтьев. – М.: Экономика, 1997. 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– 479 с. </w:t>
      </w:r>
    </w:p>
    <w:p w:rsidR="00E67FDF" w:rsidRPr="00A0014C" w:rsidRDefault="00E67FDF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5. Новая индустриализация как условие формирования инновационной модели разв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тия российской экономики: научный доклад / Руководитель темы – Е.Б. Ленчук. –  М.: И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ститут экономики РАН, 2014. – 58 с. </w:t>
      </w:r>
    </w:p>
    <w:p w:rsidR="00377F37" w:rsidRPr="00A0014C" w:rsidRDefault="00E67FDF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6. Новая экономическая политика – политика экономического роста [Электронный р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0014C">
        <w:rPr>
          <w:rFonts w:ascii="Times New Roman" w:eastAsia="Calibri" w:hAnsi="Times New Roman" w:cs="Times New Roman"/>
          <w:sz w:val="24"/>
          <w:szCs w:val="24"/>
          <w:lang w:eastAsia="en-US"/>
        </w:rPr>
        <w:t>сурс] / В.В. Ивантер. – Режим доступа: http://viperson.ru/data/201305/klmjcjbljjujsjtljtjcjb.pdf</w:t>
      </w:r>
    </w:p>
    <w:p w:rsidR="00A0014C" w:rsidRPr="00A0014C" w:rsidRDefault="00A0014C" w:rsidP="00A00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022F" w:rsidRPr="00915E8C" w:rsidRDefault="00CE022F" w:rsidP="00CE02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E8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(-ах) на русском языке</w:t>
      </w:r>
    </w:p>
    <w:p w:rsidR="00A0014C" w:rsidRPr="00E46640" w:rsidRDefault="00CE022F" w:rsidP="00E466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Лукин Евгений Владимирович – кандидат экономических наук, з</w:t>
      </w:r>
      <w:r w:rsidR="00E46640">
        <w:rPr>
          <w:rFonts w:ascii="Times New Roman" w:hAnsi="Times New Roman" w:cs="Times New Roman"/>
          <w:sz w:val="24"/>
          <w:szCs w:val="24"/>
        </w:rPr>
        <w:t>аместитель заведу</w:t>
      </w:r>
      <w:r w:rsidR="00E46640">
        <w:rPr>
          <w:rFonts w:ascii="Times New Roman" w:hAnsi="Times New Roman" w:cs="Times New Roman"/>
          <w:sz w:val="24"/>
          <w:szCs w:val="24"/>
        </w:rPr>
        <w:t>ю</w:t>
      </w:r>
      <w:r w:rsidR="00E46640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A0014C">
        <w:rPr>
          <w:rFonts w:ascii="Times New Roman" w:hAnsi="Times New Roman" w:cs="Times New Roman"/>
          <w:sz w:val="24"/>
          <w:szCs w:val="24"/>
        </w:rPr>
        <w:t>отделом</w:t>
      </w:r>
      <w:r w:rsidR="00E46640" w:rsidRPr="00E46640">
        <w:rPr>
          <w:rFonts w:ascii="Times New Roman" w:hAnsi="Times New Roman" w:cs="Times New Roman"/>
          <w:sz w:val="24"/>
          <w:szCs w:val="24"/>
        </w:rPr>
        <w:t xml:space="preserve"> </w:t>
      </w:r>
      <w:r w:rsidR="00E46640">
        <w:rPr>
          <w:rFonts w:ascii="Times New Roman" w:hAnsi="Times New Roman" w:cs="Times New Roman"/>
          <w:sz w:val="24"/>
          <w:szCs w:val="24"/>
        </w:rPr>
        <w:t>проблем социально-экономического развития и управления в территориальных системах</w:t>
      </w:r>
      <w:r w:rsidRPr="00A0014C">
        <w:rPr>
          <w:rFonts w:ascii="Times New Roman" w:hAnsi="Times New Roman" w:cs="Times New Roman"/>
          <w:sz w:val="24"/>
          <w:szCs w:val="24"/>
        </w:rPr>
        <w:t>, зав</w:t>
      </w:r>
      <w:r w:rsidR="00E46640">
        <w:rPr>
          <w:rFonts w:ascii="Times New Roman" w:hAnsi="Times New Roman" w:cs="Times New Roman"/>
          <w:sz w:val="24"/>
          <w:szCs w:val="24"/>
        </w:rPr>
        <w:t>едующий</w:t>
      </w:r>
      <w:r w:rsidRPr="00A0014C">
        <w:rPr>
          <w:rFonts w:ascii="Times New Roman" w:hAnsi="Times New Roman" w:cs="Times New Roman"/>
          <w:sz w:val="24"/>
          <w:szCs w:val="24"/>
        </w:rPr>
        <w:t xml:space="preserve"> лабораторией</w:t>
      </w:r>
      <w:r w:rsidR="00E46640">
        <w:rPr>
          <w:rFonts w:ascii="Times New Roman" w:hAnsi="Times New Roman" w:cs="Times New Roman"/>
          <w:sz w:val="24"/>
          <w:szCs w:val="24"/>
        </w:rPr>
        <w:t xml:space="preserve"> моделирования и прогнозирования социально-экономического развития территорий </w:t>
      </w:r>
      <w:r w:rsidR="00E46640" w:rsidRPr="00E46640">
        <w:rPr>
          <w:rFonts w:ascii="Times New Roman" w:hAnsi="Times New Roman" w:cs="Times New Roman"/>
          <w:sz w:val="24"/>
          <w:szCs w:val="24"/>
        </w:rPr>
        <w:t>Институт</w:t>
      </w:r>
      <w:r w:rsidR="00E46640">
        <w:rPr>
          <w:rFonts w:ascii="Times New Roman" w:hAnsi="Times New Roman" w:cs="Times New Roman"/>
          <w:sz w:val="24"/>
          <w:szCs w:val="24"/>
        </w:rPr>
        <w:t>а</w:t>
      </w:r>
      <w:r w:rsidR="00E46640" w:rsidRPr="00E4664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терр</w:t>
      </w:r>
      <w:r w:rsidR="00E46640" w:rsidRPr="00E46640">
        <w:rPr>
          <w:rFonts w:ascii="Times New Roman" w:hAnsi="Times New Roman" w:cs="Times New Roman"/>
          <w:sz w:val="24"/>
          <w:szCs w:val="24"/>
        </w:rPr>
        <w:t>и</w:t>
      </w:r>
      <w:r w:rsidR="00E46640" w:rsidRPr="00E46640">
        <w:rPr>
          <w:rFonts w:ascii="Times New Roman" w:hAnsi="Times New Roman" w:cs="Times New Roman"/>
          <w:sz w:val="24"/>
          <w:szCs w:val="24"/>
        </w:rPr>
        <w:t>торий РАН</w:t>
      </w:r>
      <w:r w:rsidR="00E46640">
        <w:rPr>
          <w:rFonts w:ascii="Times New Roman" w:hAnsi="Times New Roman" w:cs="Times New Roman"/>
          <w:sz w:val="24"/>
          <w:szCs w:val="24"/>
        </w:rPr>
        <w:t xml:space="preserve"> (г. Вологда, ул. Горького, 56А, </w:t>
      </w:r>
      <w:r w:rsidR="00E46640">
        <w:rPr>
          <w:rFonts w:ascii="Times New Roman" w:hAnsi="Times New Roman" w:cs="Times New Roman"/>
          <w:sz w:val="24"/>
          <w:szCs w:val="24"/>
          <w:lang w:val="en-US"/>
        </w:rPr>
        <w:t>lukin</w:t>
      </w:r>
      <w:r w:rsidR="00E46640" w:rsidRPr="00E46640">
        <w:rPr>
          <w:rFonts w:ascii="Times New Roman" w:hAnsi="Times New Roman" w:cs="Times New Roman"/>
          <w:sz w:val="24"/>
          <w:szCs w:val="24"/>
        </w:rPr>
        <w:t>_</w:t>
      </w:r>
      <w:r w:rsidR="00E46640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E46640" w:rsidRPr="00E46640">
        <w:rPr>
          <w:rFonts w:ascii="Times New Roman" w:hAnsi="Times New Roman" w:cs="Times New Roman"/>
          <w:sz w:val="24"/>
          <w:szCs w:val="24"/>
        </w:rPr>
        <w:t>@</w:t>
      </w:r>
      <w:r w:rsidR="00E46640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E46640" w:rsidRPr="00E46640">
        <w:rPr>
          <w:rFonts w:ascii="Times New Roman" w:hAnsi="Times New Roman" w:cs="Times New Roman"/>
          <w:sz w:val="24"/>
          <w:szCs w:val="24"/>
        </w:rPr>
        <w:t>.</w:t>
      </w:r>
      <w:r w:rsidR="00E46640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E46640">
        <w:rPr>
          <w:rFonts w:ascii="Times New Roman" w:hAnsi="Times New Roman" w:cs="Times New Roman"/>
          <w:sz w:val="24"/>
          <w:szCs w:val="24"/>
        </w:rPr>
        <w:t>)</w:t>
      </w:r>
    </w:p>
    <w:sectPr w:rsidR="00A0014C" w:rsidRPr="00E46640" w:rsidSect="00EF4C3C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63" w:rsidRDefault="00873563" w:rsidP="00EF4C3C">
      <w:pPr>
        <w:spacing w:after="0" w:line="240" w:lineRule="auto"/>
      </w:pPr>
      <w:r>
        <w:separator/>
      </w:r>
    </w:p>
  </w:endnote>
  <w:endnote w:type="continuationSeparator" w:id="0">
    <w:p w:rsidR="00873563" w:rsidRDefault="00873563" w:rsidP="00EF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111148"/>
      <w:docPartObj>
        <w:docPartGallery w:val="Page Numbers (Bottom of Page)"/>
        <w:docPartUnique/>
      </w:docPartObj>
    </w:sdtPr>
    <w:sdtEndPr/>
    <w:sdtContent>
      <w:p w:rsidR="00873563" w:rsidRDefault="008735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4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63" w:rsidRDefault="00873563" w:rsidP="00EF4C3C">
      <w:pPr>
        <w:spacing w:after="0" w:line="240" w:lineRule="auto"/>
      </w:pPr>
      <w:r>
        <w:separator/>
      </w:r>
    </w:p>
  </w:footnote>
  <w:footnote w:type="continuationSeparator" w:id="0">
    <w:p w:rsidR="00873563" w:rsidRDefault="00873563" w:rsidP="00EF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07"/>
    <w:multiLevelType w:val="hybridMultilevel"/>
    <w:tmpl w:val="FA4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24778"/>
    <w:multiLevelType w:val="hybridMultilevel"/>
    <w:tmpl w:val="FC1A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D0E90"/>
    <w:multiLevelType w:val="hybridMultilevel"/>
    <w:tmpl w:val="9DA680AC"/>
    <w:lvl w:ilvl="0" w:tplc="28247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4C5871"/>
    <w:multiLevelType w:val="hybridMultilevel"/>
    <w:tmpl w:val="492EEABE"/>
    <w:lvl w:ilvl="0" w:tplc="28247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184031"/>
    <w:multiLevelType w:val="hybridMultilevel"/>
    <w:tmpl w:val="B930D40C"/>
    <w:lvl w:ilvl="0" w:tplc="2824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3C"/>
    <w:rsid w:val="0003290A"/>
    <w:rsid w:val="00043A89"/>
    <w:rsid w:val="0018070F"/>
    <w:rsid w:val="001F3424"/>
    <w:rsid w:val="00257F59"/>
    <w:rsid w:val="00283AF8"/>
    <w:rsid w:val="002D731C"/>
    <w:rsid w:val="0030718F"/>
    <w:rsid w:val="00343E1D"/>
    <w:rsid w:val="003469A5"/>
    <w:rsid w:val="00346BD8"/>
    <w:rsid w:val="00364417"/>
    <w:rsid w:val="00377F37"/>
    <w:rsid w:val="00394FDC"/>
    <w:rsid w:val="003A2908"/>
    <w:rsid w:val="003F2FDE"/>
    <w:rsid w:val="00401820"/>
    <w:rsid w:val="00480087"/>
    <w:rsid w:val="00556482"/>
    <w:rsid w:val="005743A1"/>
    <w:rsid w:val="00636B11"/>
    <w:rsid w:val="00665453"/>
    <w:rsid w:val="00776BBB"/>
    <w:rsid w:val="00795D48"/>
    <w:rsid w:val="00797BF3"/>
    <w:rsid w:val="007F3C51"/>
    <w:rsid w:val="007F3FB5"/>
    <w:rsid w:val="00873563"/>
    <w:rsid w:val="008C5809"/>
    <w:rsid w:val="00957838"/>
    <w:rsid w:val="00975BF1"/>
    <w:rsid w:val="009D279D"/>
    <w:rsid w:val="00A0014C"/>
    <w:rsid w:val="00A0344E"/>
    <w:rsid w:val="00A36F0E"/>
    <w:rsid w:val="00A50753"/>
    <w:rsid w:val="00AA25D1"/>
    <w:rsid w:val="00B933DB"/>
    <w:rsid w:val="00C24A5F"/>
    <w:rsid w:val="00C91731"/>
    <w:rsid w:val="00CE022F"/>
    <w:rsid w:val="00DA2EB5"/>
    <w:rsid w:val="00E0018A"/>
    <w:rsid w:val="00E120CD"/>
    <w:rsid w:val="00E46640"/>
    <w:rsid w:val="00E67FDF"/>
    <w:rsid w:val="00E86880"/>
    <w:rsid w:val="00EB5D60"/>
    <w:rsid w:val="00EC278C"/>
    <w:rsid w:val="00EF4C3C"/>
    <w:rsid w:val="00F847D6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3C"/>
  </w:style>
  <w:style w:type="paragraph" w:styleId="a5">
    <w:name w:val="footer"/>
    <w:basedOn w:val="a"/>
    <w:link w:val="a6"/>
    <w:uiPriority w:val="99"/>
    <w:unhideWhenUsed/>
    <w:rsid w:val="00EF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C3C"/>
  </w:style>
  <w:style w:type="paragraph" w:styleId="a7">
    <w:name w:val="footnote text"/>
    <w:aliases w:val="Table_Footnote_last Знак,Table_Footnote_last Знак Знак,Table_Footnote_last"/>
    <w:basedOn w:val="a"/>
    <w:link w:val="a8"/>
    <w:unhideWhenUsed/>
    <w:rsid w:val="00776BB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Table_Footnote_last Знак Знак1,Table_Footnote_last Знак Знак Знак,Table_Footnote_last Знак1"/>
    <w:basedOn w:val="a0"/>
    <w:link w:val="a7"/>
    <w:rsid w:val="00776BB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6BBB"/>
    <w:rPr>
      <w:vertAlign w:val="superscript"/>
    </w:rPr>
  </w:style>
  <w:style w:type="character" w:styleId="aa">
    <w:name w:val="Hyperlink"/>
    <w:rsid w:val="00A36F0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6F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6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41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A0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3C"/>
  </w:style>
  <w:style w:type="paragraph" w:styleId="a5">
    <w:name w:val="footer"/>
    <w:basedOn w:val="a"/>
    <w:link w:val="a6"/>
    <w:uiPriority w:val="99"/>
    <w:unhideWhenUsed/>
    <w:rsid w:val="00EF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C3C"/>
  </w:style>
  <w:style w:type="paragraph" w:styleId="a7">
    <w:name w:val="footnote text"/>
    <w:aliases w:val="Table_Footnote_last Знак,Table_Footnote_last Знак Знак,Table_Footnote_last"/>
    <w:basedOn w:val="a"/>
    <w:link w:val="a8"/>
    <w:unhideWhenUsed/>
    <w:rsid w:val="00776BB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Table_Footnote_last Знак Знак1,Table_Footnote_last Знак Знак Знак,Table_Footnote_last Знак1"/>
    <w:basedOn w:val="a0"/>
    <w:link w:val="a7"/>
    <w:rsid w:val="00776BB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6BBB"/>
    <w:rPr>
      <w:vertAlign w:val="superscript"/>
    </w:rPr>
  </w:style>
  <w:style w:type="character" w:styleId="aa">
    <w:name w:val="Hyperlink"/>
    <w:rsid w:val="00A36F0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6F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6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41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A0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'[Поквартальеная статистика РФ 2007-н.в.xlsx]Лист1'!$B$4</c:f>
              <c:strCache>
                <c:ptCount val="1"/>
                <c:pt idx="0">
                  <c:v>ВВП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2007-н.в.xlsx]Лист1'!$C$4:$AQ$4</c:f>
              <c:numCache>
                <c:formatCode>0.0</c:formatCode>
                <c:ptCount val="41"/>
                <c:pt idx="0">
                  <c:v>108.06986998210704</c:v>
                </c:pt>
                <c:pt idx="1">
                  <c:v>108.61816560660817</c:v>
                </c:pt>
                <c:pt idx="2">
                  <c:v>108.17254450734508</c:v>
                </c:pt>
                <c:pt idx="3">
                  <c:v>109.18554283138751</c:v>
                </c:pt>
                <c:pt idx="4">
                  <c:v>109.17578786779613</c:v>
                </c:pt>
                <c:pt idx="5">
                  <c:v>107.90134398055939</c:v>
                </c:pt>
                <c:pt idx="6">
                  <c:v>106.41205110411687</c:v>
                </c:pt>
                <c:pt idx="7">
                  <c:v>98.677979757048774</c:v>
                </c:pt>
                <c:pt idx="8">
                  <c:v>90.798242712760768</c:v>
                </c:pt>
                <c:pt idx="9">
                  <c:v>88.848715230079904</c:v>
                </c:pt>
                <c:pt idx="10">
                  <c:v>91.38130822691447</c:v>
                </c:pt>
                <c:pt idx="11">
                  <c:v>97.412086099096925</c:v>
                </c:pt>
                <c:pt idx="12">
                  <c:v>104.06928214803663</c:v>
                </c:pt>
                <c:pt idx="13">
                  <c:v>105.00021526624339</c:v>
                </c:pt>
                <c:pt idx="14">
                  <c:v>103.82626473515654</c:v>
                </c:pt>
                <c:pt idx="15">
                  <c:v>105.08005307206467</c:v>
                </c:pt>
                <c:pt idx="16">
                  <c:v>103.27417885140635</c:v>
                </c:pt>
                <c:pt idx="17">
                  <c:v>103.29380337510001</c:v>
                </c:pt>
                <c:pt idx="18">
                  <c:v>105.04619444747428</c:v>
                </c:pt>
                <c:pt idx="19">
                  <c:v>105.17377966381569</c:v>
                </c:pt>
                <c:pt idx="20">
                  <c:v>105.27542965168057</c:v>
                </c:pt>
                <c:pt idx="21">
                  <c:v>104.29220742620922</c:v>
                </c:pt>
                <c:pt idx="22">
                  <c:v>103.11994471718526</c:v>
                </c:pt>
                <c:pt idx="23">
                  <c:v>101.80773440428258</c:v>
                </c:pt>
                <c:pt idx="24">
                  <c:v>100.60764664151679</c:v>
                </c:pt>
                <c:pt idx="25">
                  <c:v>101.13603707758266</c:v>
                </c:pt>
                <c:pt idx="26">
                  <c:v>101.16353455644142</c:v>
                </c:pt>
                <c:pt idx="27">
                  <c:v>102.07723246275846</c:v>
                </c:pt>
                <c:pt idx="28">
                  <c:v>100.61561995094756</c:v>
                </c:pt>
                <c:pt idx="29">
                  <c:v>101.2949089419771</c:v>
                </c:pt>
                <c:pt idx="30">
                  <c:v>100.80492884256684</c:v>
                </c:pt>
                <c:pt idx="31">
                  <c:v>100.25880413182884</c:v>
                </c:pt>
                <c:pt idx="32">
                  <c:v>98.100978632490765</c:v>
                </c:pt>
                <c:pt idx="33">
                  <c:v>96.592891298548921</c:v>
                </c:pt>
                <c:pt idx="34">
                  <c:v>97.335554814701879</c:v>
                </c:pt>
                <c:pt idx="35">
                  <c:v>96.767445821431963</c:v>
                </c:pt>
                <c:pt idx="36">
                  <c:v>99.568205651463799</c:v>
                </c:pt>
                <c:pt idx="37">
                  <c:v>99.515380129048964</c:v>
                </c:pt>
                <c:pt idx="38">
                  <c:v>99.6490732253407</c:v>
                </c:pt>
                <c:pt idx="39">
                  <c:v>100.3001749151138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6C3-4F36-A5F9-9574186E58F6}"/>
            </c:ext>
          </c:extLst>
        </c:ser>
        <c:ser>
          <c:idx val="1"/>
          <c:order val="1"/>
          <c:tx>
            <c:strRef>
              <c:f>'[Поквартальеная статистика РФ 2007-н.в.xlsx]Лист1'!$B$5</c:f>
              <c:strCache>
                <c:ptCount val="1"/>
                <c:pt idx="0">
                  <c:v>Промышленное производство</c:v>
                </c:pt>
              </c:strCache>
            </c:strRef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2007-н.в.xlsx]Лист1'!$C$5:$AQ$5</c:f>
              <c:numCache>
                <c:formatCode>0.0</c:formatCode>
                <c:ptCount val="41"/>
                <c:pt idx="0">
                  <c:v>107.2</c:v>
                </c:pt>
                <c:pt idx="1">
                  <c:v>107.1</c:v>
                </c:pt>
                <c:pt idx="2">
                  <c:v>105.5</c:v>
                </c:pt>
                <c:pt idx="3">
                  <c:v>105.7</c:v>
                </c:pt>
                <c:pt idx="4">
                  <c:v>106.2</c:v>
                </c:pt>
                <c:pt idx="5">
                  <c:v>105.5</c:v>
                </c:pt>
                <c:pt idx="6">
                  <c:v>104.7</c:v>
                </c:pt>
                <c:pt idx="7">
                  <c:v>93.9</c:v>
                </c:pt>
                <c:pt idx="8">
                  <c:v>84.5</c:v>
                </c:pt>
                <c:pt idx="9">
                  <c:v>86.4</c:v>
                </c:pt>
                <c:pt idx="10">
                  <c:v>90.4</c:v>
                </c:pt>
                <c:pt idx="11">
                  <c:v>101.8</c:v>
                </c:pt>
                <c:pt idx="12">
                  <c:v>109.5</c:v>
                </c:pt>
                <c:pt idx="13">
                  <c:v>110.9</c:v>
                </c:pt>
                <c:pt idx="14">
                  <c:v>106.4</c:v>
                </c:pt>
                <c:pt idx="15">
                  <c:v>106.5</c:v>
                </c:pt>
                <c:pt idx="16">
                  <c:v>105.9</c:v>
                </c:pt>
                <c:pt idx="17">
                  <c:v>104.8</c:v>
                </c:pt>
                <c:pt idx="18">
                  <c:v>105.1</c:v>
                </c:pt>
                <c:pt idx="19">
                  <c:v>103.3</c:v>
                </c:pt>
                <c:pt idx="20">
                  <c:v>104</c:v>
                </c:pt>
                <c:pt idx="21">
                  <c:v>102.3</c:v>
                </c:pt>
                <c:pt idx="22">
                  <c:v>102.5</c:v>
                </c:pt>
                <c:pt idx="23">
                  <c:v>101.7</c:v>
                </c:pt>
                <c:pt idx="24">
                  <c:v>98.8</c:v>
                </c:pt>
                <c:pt idx="25">
                  <c:v>100.8</c:v>
                </c:pt>
                <c:pt idx="26">
                  <c:v>100.6</c:v>
                </c:pt>
                <c:pt idx="27">
                  <c:v>101.4</c:v>
                </c:pt>
                <c:pt idx="28">
                  <c:v>101.1</c:v>
                </c:pt>
                <c:pt idx="29">
                  <c:v>101.8</c:v>
                </c:pt>
                <c:pt idx="30">
                  <c:v>101.5</c:v>
                </c:pt>
                <c:pt idx="31">
                  <c:v>102.1</c:v>
                </c:pt>
                <c:pt idx="32">
                  <c:v>99.6</c:v>
                </c:pt>
                <c:pt idx="33">
                  <c:v>95.1</c:v>
                </c:pt>
                <c:pt idx="34">
                  <c:v>95.8</c:v>
                </c:pt>
                <c:pt idx="35">
                  <c:v>96.1</c:v>
                </c:pt>
                <c:pt idx="36">
                  <c:v>101.1</c:v>
                </c:pt>
                <c:pt idx="37">
                  <c:v>101.5</c:v>
                </c:pt>
                <c:pt idx="38">
                  <c:v>101</c:v>
                </c:pt>
                <c:pt idx="39">
                  <c:v>101.7</c:v>
                </c:pt>
                <c:pt idx="40">
                  <c:v>100.1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6C3-4F36-A5F9-9574186E58F6}"/>
            </c:ext>
          </c:extLst>
        </c:ser>
        <c:ser>
          <c:idx val="2"/>
          <c:order val="2"/>
          <c:tx>
            <c:strRef>
              <c:f>'[Поквартальеная статистика РФ 2007-н.в.xlsx]Лист1'!$B$6</c:f>
              <c:strCache>
                <c:ptCount val="1"/>
                <c:pt idx="0">
                  <c:v>Сельское хозяйство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2007-н.в.xlsx]Лист1'!$C$6:$AQ$6</c:f>
              <c:numCache>
                <c:formatCode>0.0</c:formatCode>
                <c:ptCount val="41"/>
                <c:pt idx="0">
                  <c:v>103.4</c:v>
                </c:pt>
                <c:pt idx="1">
                  <c:v>104.3</c:v>
                </c:pt>
                <c:pt idx="2">
                  <c:v>103</c:v>
                </c:pt>
                <c:pt idx="3">
                  <c:v>103.1</c:v>
                </c:pt>
                <c:pt idx="4">
                  <c:v>105.5</c:v>
                </c:pt>
                <c:pt idx="5">
                  <c:v>106.9</c:v>
                </c:pt>
                <c:pt idx="6">
                  <c:v>113</c:v>
                </c:pt>
                <c:pt idx="7">
                  <c:v>111.3</c:v>
                </c:pt>
                <c:pt idx="8">
                  <c:v>102.2</c:v>
                </c:pt>
                <c:pt idx="9">
                  <c:v>100.7</c:v>
                </c:pt>
                <c:pt idx="10">
                  <c:v>98.9</c:v>
                </c:pt>
                <c:pt idx="11">
                  <c:v>105.1</c:v>
                </c:pt>
                <c:pt idx="12">
                  <c:v>100.5</c:v>
                </c:pt>
                <c:pt idx="13">
                  <c:v>98.7</c:v>
                </c:pt>
                <c:pt idx="14">
                  <c:v>79.2</c:v>
                </c:pt>
                <c:pt idx="15">
                  <c:v>96.2</c:v>
                </c:pt>
                <c:pt idx="16">
                  <c:v>101.7</c:v>
                </c:pt>
                <c:pt idx="17">
                  <c:v>101.6</c:v>
                </c:pt>
                <c:pt idx="18">
                  <c:v>129.69999999999999</c:v>
                </c:pt>
                <c:pt idx="19">
                  <c:v>134</c:v>
                </c:pt>
                <c:pt idx="20">
                  <c:v>104</c:v>
                </c:pt>
                <c:pt idx="21">
                  <c:v>104.3</c:v>
                </c:pt>
                <c:pt idx="22">
                  <c:v>94</c:v>
                </c:pt>
                <c:pt idx="23">
                  <c:v>89.4</c:v>
                </c:pt>
                <c:pt idx="24">
                  <c:v>101.4</c:v>
                </c:pt>
                <c:pt idx="25">
                  <c:v>100.9</c:v>
                </c:pt>
                <c:pt idx="26">
                  <c:v>103</c:v>
                </c:pt>
                <c:pt idx="27">
                  <c:v>114.8</c:v>
                </c:pt>
                <c:pt idx="28">
                  <c:v>102.3</c:v>
                </c:pt>
                <c:pt idx="29">
                  <c:v>103.1</c:v>
                </c:pt>
                <c:pt idx="30">
                  <c:v>111</c:v>
                </c:pt>
                <c:pt idx="31">
                  <c:v>94.3</c:v>
                </c:pt>
                <c:pt idx="32">
                  <c:v>103</c:v>
                </c:pt>
                <c:pt idx="33">
                  <c:v>101.9</c:v>
                </c:pt>
                <c:pt idx="34">
                  <c:v>101.5</c:v>
                </c:pt>
                <c:pt idx="35">
                  <c:v>104.6</c:v>
                </c:pt>
                <c:pt idx="36">
                  <c:v>103.6</c:v>
                </c:pt>
                <c:pt idx="37">
                  <c:v>103.3</c:v>
                </c:pt>
                <c:pt idx="38">
                  <c:v>105.6</c:v>
                </c:pt>
                <c:pt idx="39">
                  <c:v>105</c:v>
                </c:pt>
                <c:pt idx="40">
                  <c:v>100.7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6C3-4F36-A5F9-9574186E58F6}"/>
            </c:ext>
          </c:extLst>
        </c:ser>
        <c:ser>
          <c:idx val="3"/>
          <c:order val="3"/>
          <c:tx>
            <c:strRef>
              <c:f>'[Поквартальеная статистика РФ 2007-н.в.xlsx]Лист1'!$B$7</c:f>
              <c:strCache>
                <c:ptCount val="1"/>
                <c:pt idx="0">
                  <c:v>Грузооборот транспорта</c:v>
                </c:pt>
              </c:strCache>
            </c:strRef>
          </c:tx>
          <c:spPr>
            <a:ln w="19050">
              <a:solidFill>
                <a:schemeClr val="tx1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2007-н.в.xlsx]Лист1'!$C$7:$AQ$7</c:f>
              <c:numCache>
                <c:formatCode>0.0</c:formatCode>
                <c:ptCount val="41"/>
                <c:pt idx="0">
                  <c:v>103.2</c:v>
                </c:pt>
                <c:pt idx="1">
                  <c:v>102.6</c:v>
                </c:pt>
                <c:pt idx="2">
                  <c:v>100.6</c:v>
                </c:pt>
                <c:pt idx="3">
                  <c:v>103.2</c:v>
                </c:pt>
                <c:pt idx="4">
                  <c:v>105.1</c:v>
                </c:pt>
                <c:pt idx="5">
                  <c:v>102.9</c:v>
                </c:pt>
                <c:pt idx="6">
                  <c:v>101.4</c:v>
                </c:pt>
                <c:pt idx="7">
                  <c:v>93.6</c:v>
                </c:pt>
                <c:pt idx="8">
                  <c:v>82.8</c:v>
                </c:pt>
                <c:pt idx="9">
                  <c:v>82.2</c:v>
                </c:pt>
                <c:pt idx="10">
                  <c:v>93.1</c:v>
                </c:pt>
                <c:pt idx="11">
                  <c:v>102.1</c:v>
                </c:pt>
                <c:pt idx="12">
                  <c:v>111.6</c:v>
                </c:pt>
                <c:pt idx="13">
                  <c:v>113</c:v>
                </c:pt>
                <c:pt idx="14">
                  <c:v>101.7</c:v>
                </c:pt>
                <c:pt idx="15">
                  <c:v>102.4</c:v>
                </c:pt>
                <c:pt idx="16">
                  <c:v>103.9</c:v>
                </c:pt>
                <c:pt idx="17">
                  <c:v>105.2</c:v>
                </c:pt>
                <c:pt idx="18">
                  <c:v>102.4</c:v>
                </c:pt>
                <c:pt idx="19">
                  <c:v>102.3</c:v>
                </c:pt>
                <c:pt idx="20">
                  <c:v>104.8</c:v>
                </c:pt>
                <c:pt idx="21">
                  <c:v>100.8</c:v>
                </c:pt>
                <c:pt idx="22">
                  <c:v>104</c:v>
                </c:pt>
                <c:pt idx="23">
                  <c:v>102</c:v>
                </c:pt>
                <c:pt idx="24">
                  <c:v>98.3</c:v>
                </c:pt>
                <c:pt idx="25">
                  <c:v>100</c:v>
                </c:pt>
                <c:pt idx="26">
                  <c:v>100.7</c:v>
                </c:pt>
                <c:pt idx="27">
                  <c:v>103.1</c:v>
                </c:pt>
                <c:pt idx="28">
                  <c:v>101.6</c:v>
                </c:pt>
                <c:pt idx="29">
                  <c:v>101.2</c:v>
                </c:pt>
                <c:pt idx="30">
                  <c:v>99</c:v>
                </c:pt>
                <c:pt idx="31">
                  <c:v>97.8</c:v>
                </c:pt>
                <c:pt idx="32">
                  <c:v>98.4</c:v>
                </c:pt>
                <c:pt idx="33">
                  <c:v>97.2</c:v>
                </c:pt>
                <c:pt idx="34">
                  <c:v>101.2</c:v>
                </c:pt>
                <c:pt idx="35">
                  <c:v>103.9</c:v>
                </c:pt>
                <c:pt idx="36">
                  <c:v>101.5</c:v>
                </c:pt>
                <c:pt idx="37">
                  <c:v>101</c:v>
                </c:pt>
                <c:pt idx="38">
                  <c:v>102.8</c:v>
                </c:pt>
                <c:pt idx="39">
                  <c:v>101.8</c:v>
                </c:pt>
                <c:pt idx="40">
                  <c:v>105.4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D6C3-4F36-A5F9-9574186E5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011584"/>
        <c:axId val="250852864"/>
      </c:lineChart>
      <c:catAx>
        <c:axId val="24901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250852864"/>
        <c:crossesAt val="100"/>
        <c:auto val="1"/>
        <c:lblAlgn val="ctr"/>
        <c:lblOffset val="100"/>
        <c:noMultiLvlLbl val="0"/>
      </c:catAx>
      <c:valAx>
        <c:axId val="250852864"/>
        <c:scaling>
          <c:orientation val="minMax"/>
          <c:max val="135"/>
          <c:min val="75"/>
        </c:scaling>
        <c:delete val="0"/>
        <c:axPos val="l"/>
        <c:numFmt formatCode="0.0" sourceLinked="1"/>
        <c:majorTickMark val="out"/>
        <c:minorTickMark val="none"/>
        <c:tickLblPos val="nextTo"/>
        <c:crossAx val="24901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23576950162821"/>
          <c:y val="2.5032848693046731E-2"/>
          <c:w val="0.32660384665031628"/>
          <c:h val="0.21271964190649414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896444762586495E-2"/>
          <c:y val="5.0925925925925923E-2"/>
          <c:w val="0.59845178443603642"/>
          <c:h val="0.8459492563429571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США (левая шкала)</c:v>
                </c:pt>
              </c:strCache>
            </c:strRef>
          </c:tx>
          <c:spPr>
            <a:ln w="19050">
              <a:solidFill>
                <a:srgbClr val="0070C0"/>
              </a:solidFill>
            </a:ln>
          </c:spPr>
          <c:marker>
            <c:symbol val="circle"/>
            <c:size val="4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ln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Лист1!$L$3:$T$3</c:f>
              <c:strCache>
                <c:ptCount val="9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</c:strCache>
            </c:strRef>
          </c:cat>
          <c:val>
            <c:numRef>
              <c:f>Лист1!$L$4:$T$4</c:f>
              <c:numCache>
                <c:formatCode>0.00</c:formatCode>
                <c:ptCount val="9"/>
                <c:pt idx="0">
                  <c:v>10.327331145284417</c:v>
                </c:pt>
                <c:pt idx="1">
                  <c:v>9.5164734735073555</c:v>
                </c:pt>
                <c:pt idx="2">
                  <c:v>12.005889336478228</c:v>
                </c:pt>
                <c:pt idx="3">
                  <c:v>10.596729489540243</c:v>
                </c:pt>
                <c:pt idx="4">
                  <c:v>9.4029510252058852</c:v>
                </c:pt>
                <c:pt idx="5">
                  <c:v>9.6229145628048549</c:v>
                </c:pt>
                <c:pt idx="6">
                  <c:v>9.6677454213096325</c:v>
                </c:pt>
                <c:pt idx="7">
                  <c:v>9.8636736505524691</c:v>
                </c:pt>
                <c:pt idx="8">
                  <c:v>9.2504629058987309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158400"/>
        <c:axId val="175159936"/>
      </c:lineChart>
      <c:lineChart>
        <c:grouping val="standard"/>
        <c:varyColors val="0"/>
        <c:ser>
          <c:idx val="1"/>
          <c:order val="1"/>
          <c:tx>
            <c:strRef>
              <c:f>Лист1!$A$5</c:f>
              <c:strCache>
                <c:ptCount val="1"/>
                <c:pt idx="0">
                  <c:v>РФ (правая шкала)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square"/>
            <c:size val="4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Лист1!$L$3:$T$3</c:f>
              <c:strCache>
                <c:ptCount val="9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</c:strCache>
            </c:strRef>
          </c:cat>
          <c:val>
            <c:numRef>
              <c:f>Лист1!$L$5:$T$5</c:f>
              <c:numCache>
                <c:formatCode>0.00</c:formatCode>
                <c:ptCount val="9"/>
                <c:pt idx="0">
                  <c:v>1.6117264976333459</c:v>
                </c:pt>
                <c:pt idx="1">
                  <c:v>1.6011072117297802</c:v>
                </c:pt>
                <c:pt idx="2">
                  <c:v>1.5710455983571436</c:v>
                </c:pt>
                <c:pt idx="3">
                  <c:v>1.5786588450834851</c:v>
                </c:pt>
                <c:pt idx="4">
                  <c:v>1.5560590402839896</c:v>
                </c:pt>
                <c:pt idx="5">
                  <c:v>1.5643812223982407</c:v>
                </c:pt>
                <c:pt idx="6">
                  <c:v>1.5620525696452514</c:v>
                </c:pt>
                <c:pt idx="7">
                  <c:v>1.5376933084373112</c:v>
                </c:pt>
                <c:pt idx="8">
                  <c:v>1.5249961599655508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ВО (правая шкала)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diamond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Лист1!$L$3:$T$3</c:f>
              <c:strCache>
                <c:ptCount val="9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</c:strCache>
            </c:strRef>
          </c:cat>
          <c:val>
            <c:numRef>
              <c:f>Лист1!$L$6:$T$6</c:f>
              <c:numCache>
                <c:formatCode>0.00</c:formatCode>
                <c:ptCount val="9"/>
                <c:pt idx="0">
                  <c:v>1.1399999999999999</c:v>
                </c:pt>
                <c:pt idx="1">
                  <c:v>1.17</c:v>
                </c:pt>
                <c:pt idx="2">
                  <c:v>1.1399999999999999</c:v>
                </c:pt>
                <c:pt idx="3">
                  <c:v>1.1499999999999999</c:v>
                </c:pt>
                <c:pt idx="4">
                  <c:v>1.1499999999999999</c:v>
                </c:pt>
                <c:pt idx="5">
                  <c:v>1.1499999999999999</c:v>
                </c:pt>
                <c:pt idx="6">
                  <c:v>1.1399999999999999</c:v>
                </c:pt>
                <c:pt idx="7">
                  <c:v>1.1200000000000001</c:v>
                </c:pt>
                <c:pt idx="8">
                  <c:v>1.1000000000000001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167360"/>
        <c:axId val="175165824"/>
      </c:lineChart>
      <c:catAx>
        <c:axId val="17515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159936"/>
        <c:crosses val="autoZero"/>
        <c:auto val="1"/>
        <c:lblAlgn val="ctr"/>
        <c:lblOffset val="100"/>
        <c:noMultiLvlLbl val="0"/>
      </c:catAx>
      <c:valAx>
        <c:axId val="17515993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75158400"/>
        <c:crosses val="autoZero"/>
        <c:crossBetween val="between"/>
      </c:valAx>
      <c:valAx>
        <c:axId val="175165824"/>
        <c:scaling>
          <c:orientation val="minMax"/>
          <c:max val="2.2000000000000002"/>
          <c:min val="0.8"/>
        </c:scaling>
        <c:delete val="0"/>
        <c:axPos val="r"/>
        <c:numFmt formatCode="0.00" sourceLinked="1"/>
        <c:majorTickMark val="out"/>
        <c:minorTickMark val="none"/>
        <c:tickLblPos val="nextTo"/>
        <c:crossAx val="175167360"/>
        <c:crosses val="max"/>
        <c:crossBetween val="between"/>
      </c:valAx>
      <c:catAx>
        <c:axId val="175167360"/>
        <c:scaling>
          <c:orientation val="minMax"/>
        </c:scaling>
        <c:delete val="1"/>
        <c:axPos val="b"/>
        <c:majorTickMark val="out"/>
        <c:minorTickMark val="none"/>
        <c:tickLblPos val="nextTo"/>
        <c:crossAx val="175165824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'[Поквартальеная статистика РФ 2007-н.в.xlsx]Лист1'!$B$11</c:f>
              <c:strCache>
                <c:ptCount val="1"/>
                <c:pt idx="0">
                  <c:v>Реальная пенсия</c:v>
                </c:pt>
              </c:strCache>
            </c:strRef>
          </c:tx>
          <c:spPr>
            <a:ln w="19050">
              <a:solidFill>
                <a:srgbClr val="0070C0"/>
              </a:solidFill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2007-н.в.xlsx]Лист1'!$C$11:$AQ$11</c:f>
              <c:numCache>
                <c:formatCode>0.0</c:formatCode>
                <c:ptCount val="41"/>
                <c:pt idx="0">
                  <c:v>104.1</c:v>
                </c:pt>
                <c:pt idx="1">
                  <c:v>104.9</c:v>
                </c:pt>
                <c:pt idx="2">
                  <c:v>102</c:v>
                </c:pt>
                <c:pt idx="3">
                  <c:v>108.1</c:v>
                </c:pt>
                <c:pt idx="4">
                  <c:v>119</c:v>
                </c:pt>
                <c:pt idx="5">
                  <c:v>113.9</c:v>
                </c:pt>
                <c:pt idx="6">
                  <c:v>122.7</c:v>
                </c:pt>
                <c:pt idx="7">
                  <c:v>116.9</c:v>
                </c:pt>
                <c:pt idx="8">
                  <c:v>106.1</c:v>
                </c:pt>
                <c:pt idx="9">
                  <c:v>113.3</c:v>
                </c:pt>
                <c:pt idx="10">
                  <c:v>109.1</c:v>
                </c:pt>
                <c:pt idx="11">
                  <c:v>114.2</c:v>
                </c:pt>
                <c:pt idx="12">
                  <c:v>144.1</c:v>
                </c:pt>
                <c:pt idx="13">
                  <c:v>138.9</c:v>
                </c:pt>
                <c:pt idx="14">
                  <c:v>134.30000000000001</c:v>
                </c:pt>
                <c:pt idx="15">
                  <c:v>124.1</c:v>
                </c:pt>
                <c:pt idx="16">
                  <c:v>102.7</c:v>
                </c:pt>
                <c:pt idx="17">
                  <c:v>99.4</c:v>
                </c:pt>
                <c:pt idx="18">
                  <c:v>100.6</c:v>
                </c:pt>
                <c:pt idx="19">
                  <c:v>102.1</c:v>
                </c:pt>
                <c:pt idx="20">
                  <c:v>104.4</c:v>
                </c:pt>
                <c:pt idx="21">
                  <c:v>106.8</c:v>
                </c:pt>
                <c:pt idx="22">
                  <c:v>104.5</c:v>
                </c:pt>
                <c:pt idx="23">
                  <c:v>103.9</c:v>
                </c:pt>
                <c:pt idx="24">
                  <c:v>102.9</c:v>
                </c:pt>
                <c:pt idx="25">
                  <c:v>102.1</c:v>
                </c:pt>
                <c:pt idx="26">
                  <c:v>103.1</c:v>
                </c:pt>
                <c:pt idx="27">
                  <c:v>103</c:v>
                </c:pt>
                <c:pt idx="28">
                  <c:v>102.8</c:v>
                </c:pt>
                <c:pt idx="29">
                  <c:v>101</c:v>
                </c:pt>
                <c:pt idx="30">
                  <c:v>100.7</c:v>
                </c:pt>
                <c:pt idx="31">
                  <c:v>99</c:v>
                </c:pt>
                <c:pt idx="32">
                  <c:v>95.9</c:v>
                </c:pt>
                <c:pt idx="33">
                  <c:v>96</c:v>
                </c:pt>
                <c:pt idx="34">
                  <c:v>96</c:v>
                </c:pt>
                <c:pt idx="35">
                  <c:v>97</c:v>
                </c:pt>
                <c:pt idx="36">
                  <c:v>97.2</c:v>
                </c:pt>
                <c:pt idx="37">
                  <c:v>95.6</c:v>
                </c:pt>
                <c:pt idx="38">
                  <c:v>96.2</c:v>
                </c:pt>
                <c:pt idx="39">
                  <c:v>97.2</c:v>
                </c:pt>
                <c:pt idx="40">
                  <c:v>111.9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6C3-4F36-A5F9-9574186E58F6}"/>
            </c:ext>
          </c:extLst>
        </c:ser>
        <c:ser>
          <c:idx val="1"/>
          <c:order val="1"/>
          <c:tx>
            <c:strRef>
              <c:f>'[Поквартальеная статистика РФ 2007-н.в.xlsx]Лист1'!$B$12</c:f>
              <c:strCache>
                <c:ptCount val="1"/>
                <c:pt idx="0">
                  <c:v>Инфляция</c:v>
                </c:pt>
              </c:strCache>
            </c:strRef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2007-н.в.xlsx]Лист1'!$C$12:$AQ$12</c:f>
              <c:numCache>
                <c:formatCode>0.0</c:formatCode>
                <c:ptCount val="41"/>
                <c:pt idx="0">
                  <c:v>103.4</c:v>
                </c:pt>
                <c:pt idx="1">
                  <c:v>102.2</c:v>
                </c:pt>
                <c:pt idx="2">
                  <c:v>101.8</c:v>
                </c:pt>
                <c:pt idx="3">
                  <c:v>104.1</c:v>
                </c:pt>
                <c:pt idx="4">
                  <c:v>104.8</c:v>
                </c:pt>
                <c:pt idx="5">
                  <c:v>103.8</c:v>
                </c:pt>
                <c:pt idx="6">
                  <c:v>101.7</c:v>
                </c:pt>
                <c:pt idx="7">
                  <c:v>102.5</c:v>
                </c:pt>
                <c:pt idx="8">
                  <c:v>105.4</c:v>
                </c:pt>
                <c:pt idx="9">
                  <c:v>101.9</c:v>
                </c:pt>
                <c:pt idx="10">
                  <c:v>100.6</c:v>
                </c:pt>
                <c:pt idx="11">
                  <c:v>100.7</c:v>
                </c:pt>
                <c:pt idx="12">
                  <c:v>103.2</c:v>
                </c:pt>
                <c:pt idx="13">
                  <c:v>101.2</c:v>
                </c:pt>
                <c:pt idx="14">
                  <c:v>101.8</c:v>
                </c:pt>
                <c:pt idx="15">
                  <c:v>102.4</c:v>
                </c:pt>
                <c:pt idx="16">
                  <c:v>103.8</c:v>
                </c:pt>
                <c:pt idx="17">
                  <c:v>101.1</c:v>
                </c:pt>
                <c:pt idx="18">
                  <c:v>99.7</c:v>
                </c:pt>
                <c:pt idx="19">
                  <c:v>101.4</c:v>
                </c:pt>
                <c:pt idx="20">
                  <c:v>101.5</c:v>
                </c:pt>
                <c:pt idx="21">
                  <c:v>101.7</c:v>
                </c:pt>
                <c:pt idx="22">
                  <c:v>101.9</c:v>
                </c:pt>
                <c:pt idx="23">
                  <c:v>101.4</c:v>
                </c:pt>
                <c:pt idx="24">
                  <c:v>101.9</c:v>
                </c:pt>
                <c:pt idx="25">
                  <c:v>101.6</c:v>
                </c:pt>
                <c:pt idx="26">
                  <c:v>101.2</c:v>
                </c:pt>
                <c:pt idx="27">
                  <c:v>101.7</c:v>
                </c:pt>
                <c:pt idx="28">
                  <c:v>107.4</c:v>
                </c:pt>
                <c:pt idx="29">
                  <c:v>101</c:v>
                </c:pt>
                <c:pt idx="30">
                  <c:v>101.7</c:v>
                </c:pt>
                <c:pt idx="31">
                  <c:v>102.3</c:v>
                </c:pt>
                <c:pt idx="32">
                  <c:v>107.4</c:v>
                </c:pt>
                <c:pt idx="33">
                  <c:v>101</c:v>
                </c:pt>
                <c:pt idx="34">
                  <c:v>101.7</c:v>
                </c:pt>
                <c:pt idx="35">
                  <c:v>102.3</c:v>
                </c:pt>
                <c:pt idx="36">
                  <c:v>102.1</c:v>
                </c:pt>
                <c:pt idx="37">
                  <c:v>101.2</c:v>
                </c:pt>
                <c:pt idx="38">
                  <c:v>100.7</c:v>
                </c:pt>
                <c:pt idx="39">
                  <c:v>101.3</c:v>
                </c:pt>
                <c:pt idx="40">
                  <c:v>101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6C3-4F36-A5F9-9574186E58F6}"/>
            </c:ext>
          </c:extLst>
        </c:ser>
        <c:ser>
          <c:idx val="2"/>
          <c:order val="2"/>
          <c:tx>
            <c:strRef>
              <c:f>'[Поквартальеная статистика РФ 2007-н.в.xlsx]Лист1'!$B$10</c:f>
              <c:strCache>
                <c:ptCount val="1"/>
                <c:pt idx="0">
                  <c:v>Реальная заработная плата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2007-н.в.xlsx]Лист1'!$C$10:$AQ$10</c:f>
              <c:numCache>
                <c:formatCode>0.0</c:formatCode>
                <c:ptCount val="41"/>
                <c:pt idx="0">
                  <c:v>118.2</c:v>
                </c:pt>
                <c:pt idx="1">
                  <c:v>116.6</c:v>
                </c:pt>
                <c:pt idx="2">
                  <c:v>113.9</c:v>
                </c:pt>
                <c:pt idx="3">
                  <c:v>116.1</c:v>
                </c:pt>
                <c:pt idx="4">
                  <c:v>113.4</c:v>
                </c:pt>
                <c:pt idx="5">
                  <c:v>112.5</c:v>
                </c:pt>
                <c:pt idx="6">
                  <c:v>112.2</c:v>
                </c:pt>
                <c:pt idx="7">
                  <c:v>105</c:v>
                </c:pt>
                <c:pt idx="8">
                  <c:v>99.2</c:v>
                </c:pt>
                <c:pt idx="9">
                  <c:v>96.1</c:v>
                </c:pt>
                <c:pt idx="10">
                  <c:v>94.8</c:v>
                </c:pt>
                <c:pt idx="11">
                  <c:v>99.3</c:v>
                </c:pt>
                <c:pt idx="12">
                  <c:v>103.1</c:v>
                </c:pt>
                <c:pt idx="13">
                  <c:v>106.1</c:v>
                </c:pt>
                <c:pt idx="14">
                  <c:v>105.1</c:v>
                </c:pt>
                <c:pt idx="15">
                  <c:v>104.2</c:v>
                </c:pt>
                <c:pt idx="16">
                  <c:v>101.6</c:v>
                </c:pt>
                <c:pt idx="17">
                  <c:v>102.7</c:v>
                </c:pt>
                <c:pt idx="18">
                  <c:v>103.8</c:v>
                </c:pt>
                <c:pt idx="19">
                  <c:v>108.5</c:v>
                </c:pt>
                <c:pt idx="20">
                  <c:v>110.3</c:v>
                </c:pt>
                <c:pt idx="21">
                  <c:v>111.3</c:v>
                </c:pt>
                <c:pt idx="22">
                  <c:v>106.3</c:v>
                </c:pt>
                <c:pt idx="23">
                  <c:v>106.2</c:v>
                </c:pt>
                <c:pt idx="24">
                  <c:v>104.5</c:v>
                </c:pt>
                <c:pt idx="25">
                  <c:v>106.2</c:v>
                </c:pt>
                <c:pt idx="26">
                  <c:v>106.4</c:v>
                </c:pt>
                <c:pt idx="27">
                  <c:v>103.9</c:v>
                </c:pt>
                <c:pt idx="28">
                  <c:v>104.4</c:v>
                </c:pt>
                <c:pt idx="29">
                  <c:v>102.4</c:v>
                </c:pt>
                <c:pt idx="30">
                  <c:v>100.6</c:v>
                </c:pt>
                <c:pt idx="31">
                  <c:v>98.3</c:v>
                </c:pt>
                <c:pt idx="32">
                  <c:v>91</c:v>
                </c:pt>
                <c:pt idx="33">
                  <c:v>91.5</c:v>
                </c:pt>
                <c:pt idx="34">
                  <c:v>90.5</c:v>
                </c:pt>
                <c:pt idx="35">
                  <c:v>90.2</c:v>
                </c:pt>
                <c:pt idx="36">
                  <c:v>99.4</c:v>
                </c:pt>
                <c:pt idx="37">
                  <c:v>100.3</c:v>
                </c:pt>
                <c:pt idx="38">
                  <c:v>101.2</c:v>
                </c:pt>
                <c:pt idx="39">
                  <c:v>101.8</c:v>
                </c:pt>
                <c:pt idx="40">
                  <c:v>101.9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6C3-4F36-A5F9-9574186E58F6}"/>
            </c:ext>
          </c:extLst>
        </c:ser>
        <c:ser>
          <c:idx val="3"/>
          <c:order val="3"/>
          <c:tx>
            <c:strRef>
              <c:f>'[Поквартальеная статистика РФ 2007-н.в.xlsx]Лист1'!$B$9</c:f>
              <c:strCache>
                <c:ptCount val="1"/>
                <c:pt idx="0">
                  <c:v>Реальные денежные доходы</c:v>
                </c:pt>
              </c:strCache>
            </c:strRef>
          </c:tx>
          <c:spPr>
            <a:ln w="31750">
              <a:solidFill>
                <a:schemeClr val="tx1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2007-н.в.xlsx]Лист1'!$C$9:$AQ$9</c:f>
              <c:numCache>
                <c:formatCode>0.0</c:formatCode>
                <c:ptCount val="41"/>
                <c:pt idx="0">
                  <c:v>111.9</c:v>
                </c:pt>
                <c:pt idx="1">
                  <c:v>110</c:v>
                </c:pt>
                <c:pt idx="2">
                  <c:v>112.4</c:v>
                </c:pt>
                <c:pt idx="3">
                  <c:v>113</c:v>
                </c:pt>
                <c:pt idx="4">
                  <c:v>107.5</c:v>
                </c:pt>
                <c:pt idx="5">
                  <c:v>105.7</c:v>
                </c:pt>
                <c:pt idx="6">
                  <c:v>104.5</c:v>
                </c:pt>
                <c:pt idx="7">
                  <c:v>93.1</c:v>
                </c:pt>
                <c:pt idx="8">
                  <c:v>100.7</c:v>
                </c:pt>
                <c:pt idx="9">
                  <c:v>103</c:v>
                </c:pt>
                <c:pt idx="10">
                  <c:v>96.4</c:v>
                </c:pt>
                <c:pt idx="11">
                  <c:v>108.2</c:v>
                </c:pt>
                <c:pt idx="12">
                  <c:v>108.1</c:v>
                </c:pt>
                <c:pt idx="13">
                  <c:v>104.3</c:v>
                </c:pt>
                <c:pt idx="14">
                  <c:v>105.8</c:v>
                </c:pt>
                <c:pt idx="15">
                  <c:v>102.9</c:v>
                </c:pt>
                <c:pt idx="16">
                  <c:v>99.4</c:v>
                </c:pt>
                <c:pt idx="17">
                  <c:v>98.9</c:v>
                </c:pt>
                <c:pt idx="18">
                  <c:v>101.9</c:v>
                </c:pt>
                <c:pt idx="19">
                  <c:v>101.5</c:v>
                </c:pt>
                <c:pt idx="20">
                  <c:v>102.2</c:v>
                </c:pt>
                <c:pt idx="21">
                  <c:v>104.8</c:v>
                </c:pt>
                <c:pt idx="22">
                  <c:v>104.5</c:v>
                </c:pt>
                <c:pt idx="23">
                  <c:v>106</c:v>
                </c:pt>
                <c:pt idx="24">
                  <c:v>105.9</c:v>
                </c:pt>
                <c:pt idx="25">
                  <c:v>103.8</c:v>
                </c:pt>
                <c:pt idx="26">
                  <c:v>103.2</c:v>
                </c:pt>
                <c:pt idx="27">
                  <c:v>103.6</c:v>
                </c:pt>
                <c:pt idx="28">
                  <c:v>97.2</c:v>
                </c:pt>
                <c:pt idx="29">
                  <c:v>100.8</c:v>
                </c:pt>
                <c:pt idx="30">
                  <c:v>102.6</c:v>
                </c:pt>
                <c:pt idx="31">
                  <c:v>96.5</c:v>
                </c:pt>
                <c:pt idx="32">
                  <c:v>97.1</c:v>
                </c:pt>
                <c:pt idx="33">
                  <c:v>94.8</c:v>
                </c:pt>
                <c:pt idx="34">
                  <c:v>95.2</c:v>
                </c:pt>
                <c:pt idx="35">
                  <c:v>96.7</c:v>
                </c:pt>
                <c:pt idx="36">
                  <c:v>96.2</c:v>
                </c:pt>
                <c:pt idx="37">
                  <c:v>94.5</c:v>
                </c:pt>
                <c:pt idx="38">
                  <c:v>93.5</c:v>
                </c:pt>
                <c:pt idx="39">
                  <c:v>94.2</c:v>
                </c:pt>
                <c:pt idx="40">
                  <c:v>100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D6C3-4F36-A5F9-9574186E5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531648"/>
        <c:axId val="171533440"/>
      </c:lineChart>
      <c:catAx>
        <c:axId val="17153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71533440"/>
        <c:crossesAt val="100"/>
        <c:auto val="1"/>
        <c:lblAlgn val="ctr"/>
        <c:lblOffset val="100"/>
        <c:noMultiLvlLbl val="0"/>
      </c:catAx>
      <c:valAx>
        <c:axId val="171533440"/>
        <c:scaling>
          <c:orientation val="minMax"/>
          <c:max val="145"/>
          <c:min val="85"/>
        </c:scaling>
        <c:delete val="0"/>
        <c:axPos val="l"/>
        <c:numFmt formatCode="0.0" sourceLinked="1"/>
        <c:majorTickMark val="out"/>
        <c:minorTickMark val="none"/>
        <c:tickLblPos val="nextTo"/>
        <c:crossAx val="17153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8601729048239"/>
          <c:y val="2.5032848693046731E-2"/>
          <c:w val="0.33697944324712059"/>
          <c:h val="0.21271964190649414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'[Поквартальеная статистика РФ 2007-н.в.xlsx]Лист1'!$B$22</c:f>
              <c:strCache>
                <c:ptCount val="1"/>
                <c:pt idx="0">
                  <c:v>Экспорт</c:v>
                </c:pt>
              </c:strCache>
            </c:strRef>
          </c:tx>
          <c:spPr>
            <a:ln w="19050">
              <a:solidFill>
                <a:srgbClr val="0070C0"/>
              </a:solidFill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2007-н.в.xlsx]Лист1'!$C$22:$AQ$22</c:f>
              <c:numCache>
                <c:formatCode>0.0</c:formatCode>
                <c:ptCount val="41"/>
                <c:pt idx="0">
                  <c:v>105.7</c:v>
                </c:pt>
                <c:pt idx="1">
                  <c:v>108.4</c:v>
                </c:pt>
                <c:pt idx="2">
                  <c:v>110.6</c:v>
                </c:pt>
                <c:pt idx="3">
                  <c:v>139.9</c:v>
                </c:pt>
                <c:pt idx="4">
                  <c:v>154.4</c:v>
                </c:pt>
                <c:pt idx="5">
                  <c:v>153.9</c:v>
                </c:pt>
                <c:pt idx="6">
                  <c:v>154.4</c:v>
                </c:pt>
                <c:pt idx="7">
                  <c:v>90.7</c:v>
                </c:pt>
                <c:pt idx="8">
                  <c:v>53.3</c:v>
                </c:pt>
                <c:pt idx="9">
                  <c:v>50.4</c:v>
                </c:pt>
                <c:pt idx="10">
                  <c:v>60.7</c:v>
                </c:pt>
                <c:pt idx="11">
                  <c:v>96.7</c:v>
                </c:pt>
                <c:pt idx="12">
                  <c:v>155.9</c:v>
                </c:pt>
                <c:pt idx="13">
                  <c:v>150</c:v>
                </c:pt>
                <c:pt idx="14">
                  <c:v>117.2</c:v>
                </c:pt>
                <c:pt idx="15">
                  <c:v>118.4</c:v>
                </c:pt>
                <c:pt idx="16">
                  <c:v>124</c:v>
                </c:pt>
                <c:pt idx="17">
                  <c:v>140</c:v>
                </c:pt>
                <c:pt idx="18">
                  <c:v>134.1</c:v>
                </c:pt>
                <c:pt idx="19">
                  <c:v>127.2</c:v>
                </c:pt>
                <c:pt idx="20">
                  <c:v>117.3</c:v>
                </c:pt>
                <c:pt idx="21">
                  <c:v>98.3</c:v>
                </c:pt>
                <c:pt idx="22">
                  <c:v>97.6</c:v>
                </c:pt>
                <c:pt idx="23">
                  <c:v>98.7</c:v>
                </c:pt>
                <c:pt idx="24">
                  <c:v>95.3</c:v>
                </c:pt>
                <c:pt idx="25">
                  <c:v>96.7</c:v>
                </c:pt>
                <c:pt idx="26">
                  <c:v>104.4</c:v>
                </c:pt>
                <c:pt idx="27">
                  <c:v>99.6</c:v>
                </c:pt>
                <c:pt idx="28">
                  <c:v>98.4</c:v>
                </c:pt>
                <c:pt idx="29">
                  <c:v>104.1</c:v>
                </c:pt>
                <c:pt idx="30">
                  <c:v>96.2</c:v>
                </c:pt>
                <c:pt idx="31">
                  <c:v>83.4</c:v>
                </c:pt>
                <c:pt idx="32">
                  <c:v>73.400000000000006</c:v>
                </c:pt>
                <c:pt idx="33">
                  <c:v>69.2</c:v>
                </c:pt>
                <c:pt idx="34">
                  <c:v>62.7</c:v>
                </c:pt>
                <c:pt idx="35">
                  <c:v>69.8</c:v>
                </c:pt>
                <c:pt idx="36">
                  <c:v>67</c:v>
                </c:pt>
                <c:pt idx="37">
                  <c:v>74.099999999999994</c:v>
                </c:pt>
                <c:pt idx="38">
                  <c:v>90</c:v>
                </c:pt>
                <c:pt idx="39">
                  <c:v>101.8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6C3-4F36-A5F9-9574186E58F6}"/>
            </c:ext>
          </c:extLst>
        </c:ser>
        <c:ser>
          <c:idx val="1"/>
          <c:order val="1"/>
          <c:tx>
            <c:strRef>
              <c:f>'[Поквартальеная статистика РФ 2007-н.в.xlsx]Лист1'!$B$23</c:f>
              <c:strCache>
                <c:ptCount val="1"/>
                <c:pt idx="0">
                  <c:v>Импорт</c:v>
                </c:pt>
              </c:strCache>
            </c:strRef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2007-н.в.xlsx]Лист1'!$C$23:$AQ$23</c:f>
              <c:numCache>
                <c:formatCode>0.0</c:formatCode>
                <c:ptCount val="41"/>
                <c:pt idx="0">
                  <c:v>138.6</c:v>
                </c:pt>
                <c:pt idx="1">
                  <c:v>135.9</c:v>
                </c:pt>
                <c:pt idx="2">
                  <c:v>137.9</c:v>
                </c:pt>
                <c:pt idx="3">
                  <c:v>135.1</c:v>
                </c:pt>
                <c:pt idx="4">
                  <c:v>140.30000000000001</c:v>
                </c:pt>
                <c:pt idx="5">
                  <c:v>142</c:v>
                </c:pt>
                <c:pt idx="6">
                  <c:v>143.1</c:v>
                </c:pt>
                <c:pt idx="7">
                  <c:v>101.8</c:v>
                </c:pt>
                <c:pt idx="8">
                  <c:v>63.1</c:v>
                </c:pt>
                <c:pt idx="9">
                  <c:v>56</c:v>
                </c:pt>
                <c:pt idx="10">
                  <c:v>56.4</c:v>
                </c:pt>
                <c:pt idx="11">
                  <c:v>80.8</c:v>
                </c:pt>
                <c:pt idx="12">
                  <c:v>118.8</c:v>
                </c:pt>
                <c:pt idx="13">
                  <c:v>136.6</c:v>
                </c:pt>
                <c:pt idx="14">
                  <c:v>144.4</c:v>
                </c:pt>
                <c:pt idx="15">
                  <c:v>132.30000000000001</c:v>
                </c:pt>
                <c:pt idx="16">
                  <c:v>144.30000000000001</c:v>
                </c:pt>
                <c:pt idx="17">
                  <c:v>143.69999999999999</c:v>
                </c:pt>
                <c:pt idx="18">
                  <c:v>122.9</c:v>
                </c:pt>
                <c:pt idx="19">
                  <c:v>116.4</c:v>
                </c:pt>
                <c:pt idx="20">
                  <c:v>111.7</c:v>
                </c:pt>
                <c:pt idx="21">
                  <c:v>99.5</c:v>
                </c:pt>
                <c:pt idx="22">
                  <c:v>104.7</c:v>
                </c:pt>
                <c:pt idx="23">
                  <c:v>107</c:v>
                </c:pt>
                <c:pt idx="24">
                  <c:v>106</c:v>
                </c:pt>
                <c:pt idx="25">
                  <c:v>103.1</c:v>
                </c:pt>
                <c:pt idx="26">
                  <c:v>100.3</c:v>
                </c:pt>
                <c:pt idx="27">
                  <c:v>98.2</c:v>
                </c:pt>
                <c:pt idx="28">
                  <c:v>94.6</c:v>
                </c:pt>
                <c:pt idx="29">
                  <c:v>95.5</c:v>
                </c:pt>
                <c:pt idx="30">
                  <c:v>92.2</c:v>
                </c:pt>
                <c:pt idx="31">
                  <c:v>80</c:v>
                </c:pt>
                <c:pt idx="32">
                  <c:v>61.6</c:v>
                </c:pt>
                <c:pt idx="33">
                  <c:v>59.1</c:v>
                </c:pt>
                <c:pt idx="34">
                  <c:v>61.9</c:v>
                </c:pt>
                <c:pt idx="35">
                  <c:v>68.400000000000006</c:v>
                </c:pt>
                <c:pt idx="36">
                  <c:v>85.3</c:v>
                </c:pt>
                <c:pt idx="37">
                  <c:v>95.6</c:v>
                </c:pt>
                <c:pt idx="38">
                  <c:v>105.7</c:v>
                </c:pt>
                <c:pt idx="39">
                  <c:v>108.8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6C3-4F36-A5F9-9574186E58F6}"/>
            </c:ext>
          </c:extLst>
        </c:ser>
        <c:ser>
          <c:idx val="2"/>
          <c:order val="2"/>
          <c:tx>
            <c:strRef>
              <c:f>'[Поквартальеная статистика РФ 2007-н.в.xlsx]Лист1'!$B$21</c:f>
              <c:strCache>
                <c:ptCount val="1"/>
                <c:pt idx="0">
                  <c:v>Розничная торговля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2007-н.в.xlsx]Лист1'!$C$21:$AQ$21</c:f>
              <c:numCache>
                <c:formatCode>0.0</c:formatCode>
                <c:ptCount val="41"/>
                <c:pt idx="0">
                  <c:v>114.8</c:v>
                </c:pt>
                <c:pt idx="1">
                  <c:v>115.8</c:v>
                </c:pt>
                <c:pt idx="2">
                  <c:v>116.8</c:v>
                </c:pt>
                <c:pt idx="3">
                  <c:v>116.8</c:v>
                </c:pt>
                <c:pt idx="4">
                  <c:v>117.4</c:v>
                </c:pt>
                <c:pt idx="5">
                  <c:v>115.1</c:v>
                </c:pt>
                <c:pt idx="6">
                  <c:v>115.2</c:v>
                </c:pt>
                <c:pt idx="7">
                  <c:v>108.8</c:v>
                </c:pt>
                <c:pt idx="8">
                  <c:v>100.4</c:v>
                </c:pt>
                <c:pt idx="9">
                  <c:v>94.8</c:v>
                </c:pt>
                <c:pt idx="10">
                  <c:v>91.1</c:v>
                </c:pt>
                <c:pt idx="11">
                  <c:v>94.3</c:v>
                </c:pt>
                <c:pt idx="12">
                  <c:v>102.4</c:v>
                </c:pt>
                <c:pt idx="13">
                  <c:v>107</c:v>
                </c:pt>
                <c:pt idx="14">
                  <c:v>108.6</c:v>
                </c:pt>
                <c:pt idx="15">
                  <c:v>107.6</c:v>
                </c:pt>
                <c:pt idx="16">
                  <c:v>105</c:v>
                </c:pt>
                <c:pt idx="17">
                  <c:v>105.8</c:v>
                </c:pt>
                <c:pt idx="18">
                  <c:v>107.9</c:v>
                </c:pt>
                <c:pt idx="19">
                  <c:v>109</c:v>
                </c:pt>
                <c:pt idx="20">
                  <c:v>107.9</c:v>
                </c:pt>
                <c:pt idx="21">
                  <c:v>107.4</c:v>
                </c:pt>
                <c:pt idx="22">
                  <c:v>105.6</c:v>
                </c:pt>
                <c:pt idx="23">
                  <c:v>104.9</c:v>
                </c:pt>
                <c:pt idx="24">
                  <c:v>104</c:v>
                </c:pt>
                <c:pt idx="25">
                  <c:v>103.8</c:v>
                </c:pt>
                <c:pt idx="26">
                  <c:v>104</c:v>
                </c:pt>
                <c:pt idx="27">
                  <c:v>103.6</c:v>
                </c:pt>
                <c:pt idx="28">
                  <c:v>103.9</c:v>
                </c:pt>
                <c:pt idx="29">
                  <c:v>102.1</c:v>
                </c:pt>
                <c:pt idx="30">
                  <c:v>101.6</c:v>
                </c:pt>
                <c:pt idx="31">
                  <c:v>103.1</c:v>
                </c:pt>
                <c:pt idx="32">
                  <c:v>93</c:v>
                </c:pt>
                <c:pt idx="33">
                  <c:v>90.3</c:v>
                </c:pt>
                <c:pt idx="34">
                  <c:v>90.1</c:v>
                </c:pt>
                <c:pt idx="35">
                  <c:v>87.3</c:v>
                </c:pt>
                <c:pt idx="36">
                  <c:v>95</c:v>
                </c:pt>
                <c:pt idx="37">
                  <c:v>95.1</c:v>
                </c:pt>
                <c:pt idx="38">
                  <c:v>96.1</c:v>
                </c:pt>
                <c:pt idx="39">
                  <c:v>95.4</c:v>
                </c:pt>
                <c:pt idx="40">
                  <c:v>98.2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6C3-4F36-A5F9-9574186E58F6}"/>
            </c:ext>
          </c:extLst>
        </c:ser>
        <c:ser>
          <c:idx val="3"/>
          <c:order val="3"/>
          <c:tx>
            <c:strRef>
              <c:f>'[Поквартальеная статистика РФ 2007-н.в.xlsx]Лист1'!$B$24</c:f>
              <c:strCache>
                <c:ptCount val="1"/>
                <c:pt idx="0">
                  <c:v>Платные услуги населению</c:v>
                </c:pt>
              </c:strCache>
            </c:strRef>
          </c:tx>
          <c:spPr>
            <a:ln w="19050">
              <a:solidFill>
                <a:schemeClr val="tx1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2007-н.в.xlsx]Лист1'!$C$24:$AQ$24</c:f>
              <c:numCache>
                <c:formatCode>0.0</c:formatCode>
                <c:ptCount val="41"/>
                <c:pt idx="0">
                  <c:v>108.7</c:v>
                </c:pt>
                <c:pt idx="1">
                  <c:v>107</c:v>
                </c:pt>
                <c:pt idx="2">
                  <c:v>106.1</c:v>
                </c:pt>
                <c:pt idx="3">
                  <c:v>106.9</c:v>
                </c:pt>
                <c:pt idx="4">
                  <c:v>107.4</c:v>
                </c:pt>
                <c:pt idx="5">
                  <c:v>105.4</c:v>
                </c:pt>
                <c:pt idx="6">
                  <c:v>105.1</c:v>
                </c:pt>
                <c:pt idx="7">
                  <c:v>101.8</c:v>
                </c:pt>
                <c:pt idx="8">
                  <c:v>99.1</c:v>
                </c:pt>
                <c:pt idx="9">
                  <c:v>95.3</c:v>
                </c:pt>
                <c:pt idx="10">
                  <c:v>93.6</c:v>
                </c:pt>
                <c:pt idx="11">
                  <c:v>95.6</c:v>
                </c:pt>
                <c:pt idx="12">
                  <c:v>99.9</c:v>
                </c:pt>
                <c:pt idx="13">
                  <c:v>101.6</c:v>
                </c:pt>
                <c:pt idx="14">
                  <c:v>101.5</c:v>
                </c:pt>
                <c:pt idx="15">
                  <c:v>102.6</c:v>
                </c:pt>
                <c:pt idx="16">
                  <c:v>102.9</c:v>
                </c:pt>
                <c:pt idx="17">
                  <c:v>103.8</c:v>
                </c:pt>
                <c:pt idx="18">
                  <c:v>102.4</c:v>
                </c:pt>
                <c:pt idx="19">
                  <c:v>102.8</c:v>
                </c:pt>
                <c:pt idx="20">
                  <c:v>104.9</c:v>
                </c:pt>
                <c:pt idx="21">
                  <c:v>103.5</c:v>
                </c:pt>
                <c:pt idx="22">
                  <c:v>102.7</c:v>
                </c:pt>
                <c:pt idx="23">
                  <c:v>103.8</c:v>
                </c:pt>
                <c:pt idx="24">
                  <c:v>103.1</c:v>
                </c:pt>
                <c:pt idx="25">
                  <c:v>101.1</c:v>
                </c:pt>
                <c:pt idx="26">
                  <c:v>103.2</c:v>
                </c:pt>
                <c:pt idx="27">
                  <c:v>101.2</c:v>
                </c:pt>
                <c:pt idx="28">
                  <c:v>101.2</c:v>
                </c:pt>
                <c:pt idx="29">
                  <c:v>100.7</c:v>
                </c:pt>
                <c:pt idx="30">
                  <c:v>101.4</c:v>
                </c:pt>
                <c:pt idx="31">
                  <c:v>101.9</c:v>
                </c:pt>
                <c:pt idx="32">
                  <c:v>99.7</c:v>
                </c:pt>
                <c:pt idx="33">
                  <c:v>98.1</c:v>
                </c:pt>
                <c:pt idx="34">
                  <c:v>97.4</c:v>
                </c:pt>
                <c:pt idx="35">
                  <c:v>97.3</c:v>
                </c:pt>
                <c:pt idx="36">
                  <c:v>98.8</c:v>
                </c:pt>
                <c:pt idx="37">
                  <c:v>99.5</c:v>
                </c:pt>
                <c:pt idx="38">
                  <c:v>100</c:v>
                </c:pt>
                <c:pt idx="39">
                  <c:v>100.3</c:v>
                </c:pt>
                <c:pt idx="40">
                  <c:v>99.7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D6C3-4F36-A5F9-9574186E5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550976"/>
        <c:axId val="171552768"/>
      </c:lineChart>
      <c:catAx>
        <c:axId val="17155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71552768"/>
        <c:crossesAt val="100"/>
        <c:auto val="1"/>
        <c:lblAlgn val="ctr"/>
        <c:lblOffset val="100"/>
        <c:noMultiLvlLbl val="0"/>
      </c:catAx>
      <c:valAx>
        <c:axId val="171552768"/>
        <c:scaling>
          <c:orientation val="minMax"/>
          <c:max val="165"/>
          <c:min val="45"/>
        </c:scaling>
        <c:delete val="0"/>
        <c:axPos val="l"/>
        <c:numFmt formatCode="0.0" sourceLinked="1"/>
        <c:majorTickMark val="out"/>
        <c:minorTickMark val="none"/>
        <c:tickLblPos val="nextTo"/>
        <c:crossAx val="17155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01041154354567"/>
          <c:y val="2.5032848693046731E-2"/>
          <c:w val="0.33282920460839882"/>
          <c:h val="0.21271964190649414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'[Поквартальеная статистика РФ 2007-н.в.xlsx]Лист1'!$B$15</c:f>
              <c:strCache>
                <c:ptCount val="1"/>
                <c:pt idx="0">
                  <c:v>Безработица</c:v>
                </c:pt>
              </c:strCache>
            </c:strRef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2007-н.в.xlsx]Лист1'!$C$15:$AQ$15</c:f>
              <c:numCache>
                <c:formatCode>0.0</c:formatCode>
                <c:ptCount val="41"/>
                <c:pt idx="0">
                  <c:v>91.5</c:v>
                </c:pt>
                <c:pt idx="1">
                  <c:v>82.6</c:v>
                </c:pt>
                <c:pt idx="2">
                  <c:v>85.6</c:v>
                </c:pt>
                <c:pt idx="3">
                  <c:v>86.7</c:v>
                </c:pt>
                <c:pt idx="4">
                  <c:v>96.5</c:v>
                </c:pt>
                <c:pt idx="5">
                  <c:v>94.2</c:v>
                </c:pt>
                <c:pt idx="6">
                  <c:v>105.6</c:v>
                </c:pt>
                <c:pt idx="7">
                  <c:v>123.7</c:v>
                </c:pt>
                <c:pt idx="8">
                  <c:v>134.80000000000001</c:v>
                </c:pt>
                <c:pt idx="9">
                  <c:v>152.1</c:v>
                </c:pt>
                <c:pt idx="10">
                  <c:v>132.19999999999999</c:v>
                </c:pt>
                <c:pt idx="11">
                  <c:v>112.3</c:v>
                </c:pt>
                <c:pt idx="12">
                  <c:v>96.2</c:v>
                </c:pt>
                <c:pt idx="13">
                  <c:v>86.6</c:v>
                </c:pt>
                <c:pt idx="14">
                  <c:v>86.8</c:v>
                </c:pt>
                <c:pt idx="15">
                  <c:v>85.2</c:v>
                </c:pt>
                <c:pt idx="16">
                  <c:v>85.7</c:v>
                </c:pt>
                <c:pt idx="17">
                  <c:v>88.1</c:v>
                </c:pt>
                <c:pt idx="18">
                  <c:v>91.8</c:v>
                </c:pt>
                <c:pt idx="19">
                  <c:v>91.6</c:v>
                </c:pt>
                <c:pt idx="20">
                  <c:v>85.3</c:v>
                </c:pt>
                <c:pt idx="21">
                  <c:v>83.8</c:v>
                </c:pt>
                <c:pt idx="22">
                  <c:v>82.5</c:v>
                </c:pt>
                <c:pt idx="23">
                  <c:v>83.9</c:v>
                </c:pt>
                <c:pt idx="24">
                  <c:v>92.6</c:v>
                </c:pt>
                <c:pt idx="25">
                  <c:v>100</c:v>
                </c:pt>
                <c:pt idx="26">
                  <c:v>103</c:v>
                </c:pt>
                <c:pt idx="27">
                  <c:v>106.7</c:v>
                </c:pt>
                <c:pt idx="28">
                  <c:v>95.2</c:v>
                </c:pt>
                <c:pt idx="29">
                  <c:v>93.4</c:v>
                </c:pt>
                <c:pt idx="30">
                  <c:v>92.6</c:v>
                </c:pt>
                <c:pt idx="31">
                  <c:v>94.7</c:v>
                </c:pt>
                <c:pt idx="32">
                  <c:v>102.6</c:v>
                </c:pt>
                <c:pt idx="33">
                  <c:v>110.3</c:v>
                </c:pt>
                <c:pt idx="34">
                  <c:v>107.8</c:v>
                </c:pt>
                <c:pt idx="35">
                  <c:v>109.4</c:v>
                </c:pt>
                <c:pt idx="36">
                  <c:v>102.6</c:v>
                </c:pt>
                <c:pt idx="37">
                  <c:v>101.5</c:v>
                </c:pt>
                <c:pt idx="38">
                  <c:v>100.1</c:v>
                </c:pt>
                <c:pt idx="39">
                  <c:v>93.9</c:v>
                </c:pt>
                <c:pt idx="40">
                  <c:v>94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6C3-4F36-A5F9-9574186E58F6}"/>
            </c:ext>
          </c:extLst>
        </c:ser>
        <c:ser>
          <c:idx val="2"/>
          <c:order val="1"/>
          <c:tx>
            <c:strRef>
              <c:f>'[Поквартальеная статистика РФ 2007-н.в.xlsx]Лист1'!$B$14</c:f>
              <c:strCache>
                <c:ptCount val="1"/>
                <c:pt idx="0">
                  <c:v>Занятость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2007-н.в.xlsx]Лист1'!$C$14:$AQ$14</c:f>
              <c:numCache>
                <c:formatCode>0.0</c:formatCode>
                <c:ptCount val="41"/>
                <c:pt idx="0">
                  <c:v>102.2</c:v>
                </c:pt>
                <c:pt idx="1">
                  <c:v>102.9</c:v>
                </c:pt>
                <c:pt idx="2">
                  <c:v>102.4</c:v>
                </c:pt>
                <c:pt idx="3">
                  <c:v>102.2</c:v>
                </c:pt>
                <c:pt idx="4">
                  <c:v>100.8</c:v>
                </c:pt>
                <c:pt idx="5">
                  <c:v>101.2</c:v>
                </c:pt>
                <c:pt idx="6">
                  <c:v>100.7</c:v>
                </c:pt>
                <c:pt idx="7">
                  <c:v>99.6</c:v>
                </c:pt>
                <c:pt idx="8">
                  <c:v>97.7</c:v>
                </c:pt>
                <c:pt idx="9">
                  <c:v>97.1</c:v>
                </c:pt>
                <c:pt idx="10">
                  <c:v>97.9</c:v>
                </c:pt>
                <c:pt idx="11">
                  <c:v>98.7</c:v>
                </c:pt>
                <c:pt idx="12">
                  <c:v>99.6</c:v>
                </c:pt>
                <c:pt idx="13">
                  <c:v>101</c:v>
                </c:pt>
                <c:pt idx="14">
                  <c:v>101</c:v>
                </c:pt>
                <c:pt idx="15">
                  <c:v>100.9</c:v>
                </c:pt>
                <c:pt idx="16">
                  <c:v>102.1</c:v>
                </c:pt>
                <c:pt idx="17">
                  <c:v>101</c:v>
                </c:pt>
                <c:pt idx="18">
                  <c:v>101.1</c:v>
                </c:pt>
                <c:pt idx="19">
                  <c:v>101.1</c:v>
                </c:pt>
                <c:pt idx="20">
                  <c:v>100.8</c:v>
                </c:pt>
                <c:pt idx="21">
                  <c:v>101.5</c:v>
                </c:pt>
                <c:pt idx="22">
                  <c:v>100.8</c:v>
                </c:pt>
                <c:pt idx="23">
                  <c:v>100.8</c:v>
                </c:pt>
                <c:pt idx="24">
                  <c:v>101.2</c:v>
                </c:pt>
                <c:pt idx="25">
                  <c:v>99.2</c:v>
                </c:pt>
                <c:pt idx="26">
                  <c:v>99.2</c:v>
                </c:pt>
                <c:pt idx="27">
                  <c:v>99.5</c:v>
                </c:pt>
                <c:pt idx="28">
                  <c:v>99.9</c:v>
                </c:pt>
                <c:pt idx="29">
                  <c:v>100.1</c:v>
                </c:pt>
                <c:pt idx="30">
                  <c:v>100.2</c:v>
                </c:pt>
                <c:pt idx="31">
                  <c:v>100.5</c:v>
                </c:pt>
                <c:pt idx="32">
                  <c:v>99.7</c:v>
                </c:pt>
                <c:pt idx="33">
                  <c:v>99.5</c:v>
                </c:pt>
                <c:pt idx="34">
                  <c:v>99.8</c:v>
                </c:pt>
                <c:pt idx="35">
                  <c:v>99.4</c:v>
                </c:pt>
                <c:pt idx="36">
                  <c:v>99.8</c:v>
                </c:pt>
                <c:pt idx="37">
                  <c:v>100</c:v>
                </c:pt>
                <c:pt idx="38">
                  <c:v>100.2</c:v>
                </c:pt>
                <c:pt idx="39">
                  <c:v>100.4</c:v>
                </c:pt>
                <c:pt idx="40">
                  <c:v>100.1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6C3-4F36-A5F9-9574186E5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571072"/>
        <c:axId val="171572608"/>
      </c:lineChart>
      <c:catAx>
        <c:axId val="17157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71572608"/>
        <c:crossesAt val="100"/>
        <c:auto val="1"/>
        <c:lblAlgn val="ctr"/>
        <c:lblOffset val="100"/>
        <c:noMultiLvlLbl val="0"/>
      </c:catAx>
      <c:valAx>
        <c:axId val="171572608"/>
        <c:scaling>
          <c:orientation val="minMax"/>
          <c:max val="155"/>
          <c:min val="75"/>
        </c:scaling>
        <c:delete val="0"/>
        <c:axPos val="l"/>
        <c:numFmt formatCode="0.0" sourceLinked="1"/>
        <c:majorTickMark val="out"/>
        <c:minorTickMark val="none"/>
        <c:tickLblPos val="nextTo"/>
        <c:crossAx val="17157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24122336245515"/>
          <c:y val="2.5032848693046731E-2"/>
          <c:w val="0.22059845867402192"/>
          <c:h val="0.13222281384105983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'[Поквартальеная статистика РФ 2007-н.в.xlsx]Лист1'!$B$18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2007-н.в.xlsx]Лист1'!$C$18:$AQ$18</c:f>
              <c:numCache>
                <c:formatCode>0.0</c:formatCode>
                <c:ptCount val="41"/>
                <c:pt idx="0">
                  <c:v>117.2</c:v>
                </c:pt>
                <c:pt idx="1">
                  <c:v>121.6</c:v>
                </c:pt>
                <c:pt idx="2">
                  <c:v>115.7</c:v>
                </c:pt>
                <c:pt idx="3">
                  <c:v>118.5</c:v>
                </c:pt>
                <c:pt idx="4">
                  <c:v>128.9</c:v>
                </c:pt>
                <c:pt idx="5">
                  <c:v>118.2</c:v>
                </c:pt>
                <c:pt idx="6">
                  <c:v>109.5</c:v>
                </c:pt>
                <c:pt idx="7">
                  <c:v>103.8</c:v>
                </c:pt>
                <c:pt idx="8">
                  <c:v>83.4</c:v>
                </c:pt>
                <c:pt idx="9">
                  <c:v>83.4</c:v>
                </c:pt>
                <c:pt idx="10">
                  <c:v>85.5</c:v>
                </c:pt>
                <c:pt idx="11">
                  <c:v>92.3</c:v>
                </c:pt>
                <c:pt idx="12">
                  <c:v>97.3</c:v>
                </c:pt>
                <c:pt idx="13">
                  <c:v>106.6</c:v>
                </c:pt>
                <c:pt idx="14">
                  <c:v>108.5</c:v>
                </c:pt>
                <c:pt idx="15">
                  <c:v>104.1</c:v>
                </c:pt>
                <c:pt idx="16">
                  <c:v>102.6</c:v>
                </c:pt>
                <c:pt idx="17">
                  <c:v>99.9</c:v>
                </c:pt>
                <c:pt idx="18">
                  <c:v>105.6</c:v>
                </c:pt>
                <c:pt idx="19">
                  <c:v>109.1</c:v>
                </c:pt>
                <c:pt idx="20">
                  <c:v>105.3</c:v>
                </c:pt>
                <c:pt idx="21">
                  <c:v>105.4</c:v>
                </c:pt>
                <c:pt idx="22">
                  <c:v>102.1</c:v>
                </c:pt>
                <c:pt idx="23">
                  <c:v>99.5</c:v>
                </c:pt>
                <c:pt idx="24">
                  <c:v>104.6</c:v>
                </c:pt>
                <c:pt idx="25">
                  <c:v>98.8</c:v>
                </c:pt>
                <c:pt idx="26">
                  <c:v>98.7</c:v>
                </c:pt>
                <c:pt idx="27">
                  <c:v>100.1</c:v>
                </c:pt>
                <c:pt idx="28">
                  <c:v>95.6</c:v>
                </c:pt>
                <c:pt idx="29">
                  <c:v>97.3</c:v>
                </c:pt>
                <c:pt idx="30">
                  <c:v>98.1</c:v>
                </c:pt>
                <c:pt idx="31">
                  <c:v>98.6</c:v>
                </c:pt>
                <c:pt idx="32">
                  <c:v>94.7</c:v>
                </c:pt>
                <c:pt idx="33">
                  <c:v>94.8</c:v>
                </c:pt>
                <c:pt idx="34">
                  <c:v>95.1</c:v>
                </c:pt>
                <c:pt idx="35">
                  <c:v>95.7</c:v>
                </c:pt>
                <c:pt idx="36">
                  <c:v>95.4</c:v>
                </c:pt>
                <c:pt idx="37">
                  <c:v>91.7</c:v>
                </c:pt>
                <c:pt idx="38">
                  <c:v>96.4</c:v>
                </c:pt>
                <c:pt idx="39">
                  <c:v>98</c:v>
                </c:pt>
                <c:pt idx="40">
                  <c:v>95.7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6C3-4F36-A5F9-9574186E58F6}"/>
            </c:ext>
          </c:extLst>
        </c:ser>
        <c:ser>
          <c:idx val="2"/>
          <c:order val="1"/>
          <c:tx>
            <c:strRef>
              <c:f>'[Поквартальеная статистика РФ 2007-н.в.xlsx]Лист1'!$B$17</c:f>
              <c:strCache>
                <c:ptCount val="1"/>
                <c:pt idx="0">
                  <c:v>Инвестиции в основной капитал</c:v>
                </c:pt>
              </c:strCache>
            </c:strRef>
          </c:tx>
          <c:spPr>
            <a:ln w="317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2007-н.в.xlsx]Лист1'!$C$17:$AQ$17</c:f>
              <c:numCache>
                <c:formatCode>0.0</c:formatCode>
                <c:ptCount val="41"/>
                <c:pt idx="0">
                  <c:v>122.8</c:v>
                </c:pt>
                <c:pt idx="1">
                  <c:v>124.2</c:v>
                </c:pt>
                <c:pt idx="2">
                  <c:v>118.2</c:v>
                </c:pt>
                <c:pt idx="3">
                  <c:v>120.6</c:v>
                </c:pt>
                <c:pt idx="4">
                  <c:v>123.6</c:v>
                </c:pt>
                <c:pt idx="5">
                  <c:v>117.4</c:v>
                </c:pt>
                <c:pt idx="6">
                  <c:v>111.7</c:v>
                </c:pt>
                <c:pt idx="7">
                  <c:v>97.7</c:v>
                </c:pt>
                <c:pt idx="8">
                  <c:v>82.7</c:v>
                </c:pt>
                <c:pt idx="9">
                  <c:v>77.2</c:v>
                </c:pt>
                <c:pt idx="10">
                  <c:v>81.8</c:v>
                </c:pt>
                <c:pt idx="11">
                  <c:v>90.6</c:v>
                </c:pt>
                <c:pt idx="12">
                  <c:v>95.2</c:v>
                </c:pt>
                <c:pt idx="13">
                  <c:v>105.6</c:v>
                </c:pt>
                <c:pt idx="14">
                  <c:v>105.3</c:v>
                </c:pt>
                <c:pt idx="15">
                  <c:v>111.1</c:v>
                </c:pt>
                <c:pt idx="16">
                  <c:v>99.2</c:v>
                </c:pt>
                <c:pt idx="17">
                  <c:v>105</c:v>
                </c:pt>
                <c:pt idx="18">
                  <c:v>108.2</c:v>
                </c:pt>
                <c:pt idx="19">
                  <c:v>113.6</c:v>
                </c:pt>
                <c:pt idx="20">
                  <c:v>116.5</c:v>
                </c:pt>
                <c:pt idx="21">
                  <c:v>110.5</c:v>
                </c:pt>
                <c:pt idx="22">
                  <c:v>105.3</c:v>
                </c:pt>
                <c:pt idx="23">
                  <c:v>102.1</c:v>
                </c:pt>
                <c:pt idx="24">
                  <c:v>100.1</c:v>
                </c:pt>
                <c:pt idx="25">
                  <c:v>98.8</c:v>
                </c:pt>
                <c:pt idx="26">
                  <c:v>99.7</c:v>
                </c:pt>
                <c:pt idx="27">
                  <c:v>100.4</c:v>
                </c:pt>
                <c:pt idx="28">
                  <c:v>96.9</c:v>
                </c:pt>
                <c:pt idx="29">
                  <c:v>100.2</c:v>
                </c:pt>
                <c:pt idx="30">
                  <c:v>99.8</c:v>
                </c:pt>
                <c:pt idx="31">
                  <c:v>97.3</c:v>
                </c:pt>
                <c:pt idx="32">
                  <c:v>95.2</c:v>
                </c:pt>
                <c:pt idx="33">
                  <c:v>91.2</c:v>
                </c:pt>
                <c:pt idx="34">
                  <c:v>87</c:v>
                </c:pt>
                <c:pt idx="35">
                  <c:v>93.6</c:v>
                </c:pt>
                <c:pt idx="36">
                  <c:v>98.8</c:v>
                </c:pt>
                <c:pt idx="37">
                  <c:v>98.5</c:v>
                </c:pt>
                <c:pt idx="38">
                  <c:v>100.5</c:v>
                </c:pt>
                <c:pt idx="39">
                  <c:v>98.7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6C3-4F36-A5F9-9574186E58F6}"/>
            </c:ext>
          </c:extLst>
        </c:ser>
        <c:ser>
          <c:idx val="1"/>
          <c:order val="2"/>
          <c:tx>
            <c:strRef>
              <c:f>'[Поквартальеная статистика РФ 2007-н.в.xlsx]Лист1'!$B$19</c:f>
              <c:strCache>
                <c:ptCount val="1"/>
                <c:pt idx="0">
                  <c:v>Ввод в действие жилых домов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'[Поквартальеная статистика РФ 2007-н.в.xlsx]Лист1'!$C$2:$AP$3</c:f>
              <c:multiLvlStrCache>
                <c:ptCount val="40"/>
                <c:lvl>
                  <c:pt idx="0">
                    <c:v>I кв.</c:v>
                  </c:pt>
                  <c:pt idx="1">
                    <c:v>II кв.</c:v>
                  </c:pt>
                  <c:pt idx="2">
                    <c:v>III кв.</c:v>
                  </c:pt>
                  <c:pt idx="3">
                    <c:v>IV кв.</c:v>
                  </c:pt>
                  <c:pt idx="4">
                    <c:v>I кв.</c:v>
                  </c:pt>
                  <c:pt idx="5">
                    <c:v>II кв.</c:v>
                  </c:pt>
                  <c:pt idx="6">
                    <c:v>III кв.</c:v>
                  </c:pt>
                  <c:pt idx="7">
                    <c:v>IV кв.</c:v>
                  </c:pt>
                  <c:pt idx="8">
                    <c:v>I кв.</c:v>
                  </c:pt>
                  <c:pt idx="9">
                    <c:v>II кв.</c:v>
                  </c:pt>
                  <c:pt idx="10">
                    <c:v>III кв.</c:v>
                  </c:pt>
                  <c:pt idx="11">
                    <c:v>IV кв.</c:v>
                  </c:pt>
                  <c:pt idx="12">
                    <c:v>I кв.</c:v>
                  </c:pt>
                  <c:pt idx="13">
                    <c:v>II кв.</c:v>
                  </c:pt>
                  <c:pt idx="14">
                    <c:v>III кв.</c:v>
                  </c:pt>
                  <c:pt idx="15">
                    <c:v>IV кв.</c:v>
                  </c:pt>
                  <c:pt idx="16">
                    <c:v>I кв.</c:v>
                  </c:pt>
                  <c:pt idx="17">
                    <c:v>II кв.</c:v>
                  </c:pt>
                  <c:pt idx="18">
                    <c:v>III кв.</c:v>
                  </c:pt>
                  <c:pt idx="19">
                    <c:v>IV кв.</c:v>
                  </c:pt>
                  <c:pt idx="20">
                    <c:v>I кв.</c:v>
                  </c:pt>
                  <c:pt idx="21">
                    <c:v>II кв.</c:v>
                  </c:pt>
                  <c:pt idx="22">
                    <c:v>III кв.</c:v>
                  </c:pt>
                  <c:pt idx="23">
                    <c:v>IV кв.</c:v>
                  </c:pt>
                  <c:pt idx="24">
                    <c:v>I кв.</c:v>
                  </c:pt>
                  <c:pt idx="25">
                    <c:v>II кв.</c:v>
                  </c:pt>
                  <c:pt idx="26">
                    <c:v>III кв.</c:v>
                  </c:pt>
                  <c:pt idx="27">
                    <c:v>IV кв.</c:v>
                  </c:pt>
                  <c:pt idx="28">
                    <c:v>I кв.</c:v>
                  </c:pt>
                  <c:pt idx="29">
                    <c:v>II кв.</c:v>
                  </c:pt>
                  <c:pt idx="30">
                    <c:v>III кв.</c:v>
                  </c:pt>
                  <c:pt idx="31">
                    <c:v>IV кв.</c:v>
                  </c:pt>
                  <c:pt idx="32">
                    <c:v>I кв.</c:v>
                  </c:pt>
                  <c:pt idx="33">
                    <c:v>II кв.</c:v>
                  </c:pt>
                  <c:pt idx="34">
                    <c:v>III кв.</c:v>
                  </c:pt>
                  <c:pt idx="35">
                    <c:v>IV кв.</c:v>
                  </c:pt>
                  <c:pt idx="36">
                    <c:v>I кв.</c:v>
                  </c:pt>
                  <c:pt idx="37">
                    <c:v>II кв.</c:v>
                  </c:pt>
                  <c:pt idx="38">
                    <c:v>III кв.</c:v>
                  </c:pt>
                  <c:pt idx="39">
                    <c:v>IV кв.</c:v>
                  </c:pt>
                </c:lvl>
                <c:lvl>
                  <c:pt idx="0">
                    <c:v>2007 г.</c:v>
                  </c:pt>
                  <c:pt idx="4">
                    <c:v>2008 г.</c:v>
                  </c:pt>
                  <c:pt idx="8">
                    <c:v>2009 г.</c:v>
                  </c:pt>
                  <c:pt idx="12">
                    <c:v>2010 г.</c:v>
                  </c:pt>
                  <c:pt idx="16">
                    <c:v>2011 г.</c:v>
                  </c:pt>
                  <c:pt idx="20">
                    <c:v>2012 г.</c:v>
                  </c:pt>
                  <c:pt idx="24">
                    <c:v>2013 г.</c:v>
                  </c:pt>
                  <c:pt idx="28">
                    <c:v>2014 г.</c:v>
                  </c:pt>
                  <c:pt idx="32">
                    <c:v>2015 г.</c:v>
                  </c:pt>
                  <c:pt idx="36">
                    <c:v>2016 г.</c:v>
                  </c:pt>
                </c:lvl>
              </c:multiLvlStrCache>
            </c:multiLvlStrRef>
          </c:cat>
          <c:val>
            <c:numRef>
              <c:f>'[Поквартальеная статистика РФ 2007-н.в.xlsx]Лист1'!$C$19:$AQ$19</c:f>
              <c:numCache>
                <c:formatCode>0.0</c:formatCode>
                <c:ptCount val="41"/>
                <c:pt idx="0">
                  <c:v>150.80000000000001</c:v>
                </c:pt>
                <c:pt idx="1">
                  <c:v>123.3</c:v>
                </c:pt>
                <c:pt idx="2">
                  <c:v>125.6</c:v>
                </c:pt>
                <c:pt idx="3">
                  <c:v>110.8</c:v>
                </c:pt>
                <c:pt idx="4">
                  <c:v>107.6</c:v>
                </c:pt>
                <c:pt idx="5">
                  <c:v>98.8</c:v>
                </c:pt>
                <c:pt idx="6">
                  <c:v>105.5</c:v>
                </c:pt>
                <c:pt idx="7">
                  <c:v>105.7</c:v>
                </c:pt>
                <c:pt idx="8">
                  <c:v>102.5</c:v>
                </c:pt>
                <c:pt idx="9">
                  <c:v>97.2</c:v>
                </c:pt>
                <c:pt idx="10">
                  <c:v>98.8</c:v>
                </c:pt>
                <c:pt idx="11">
                  <c:v>86.4</c:v>
                </c:pt>
                <c:pt idx="12">
                  <c:v>91.1</c:v>
                </c:pt>
                <c:pt idx="13">
                  <c:v>107.3</c:v>
                </c:pt>
                <c:pt idx="14">
                  <c:v>85.7</c:v>
                </c:pt>
                <c:pt idx="15">
                  <c:v>102.3</c:v>
                </c:pt>
                <c:pt idx="16">
                  <c:v>97.6</c:v>
                </c:pt>
                <c:pt idx="17">
                  <c:v>95.2</c:v>
                </c:pt>
                <c:pt idx="18">
                  <c:v>114.3</c:v>
                </c:pt>
                <c:pt idx="19">
                  <c:v>111.8</c:v>
                </c:pt>
                <c:pt idx="20">
                  <c:v>105.5</c:v>
                </c:pt>
                <c:pt idx="21">
                  <c:v>98.6</c:v>
                </c:pt>
                <c:pt idx="22">
                  <c:v>104.2</c:v>
                </c:pt>
                <c:pt idx="23">
                  <c:v>109.1</c:v>
                </c:pt>
                <c:pt idx="24">
                  <c:v>106.5</c:v>
                </c:pt>
                <c:pt idx="25">
                  <c:v>108.3</c:v>
                </c:pt>
                <c:pt idx="26">
                  <c:v>118.5</c:v>
                </c:pt>
                <c:pt idx="27">
                  <c:v>102.1</c:v>
                </c:pt>
                <c:pt idx="28">
                  <c:v>130.9</c:v>
                </c:pt>
                <c:pt idx="29">
                  <c:v>128.9</c:v>
                </c:pt>
                <c:pt idx="30">
                  <c:v>116.4</c:v>
                </c:pt>
                <c:pt idx="31">
                  <c:v>110.9</c:v>
                </c:pt>
                <c:pt idx="32">
                  <c:v>133.5</c:v>
                </c:pt>
                <c:pt idx="33">
                  <c:v>102</c:v>
                </c:pt>
                <c:pt idx="34">
                  <c:v>93.8</c:v>
                </c:pt>
                <c:pt idx="35">
                  <c:v>92.5</c:v>
                </c:pt>
                <c:pt idx="36">
                  <c:v>83.6</c:v>
                </c:pt>
                <c:pt idx="37">
                  <c:v>99.3</c:v>
                </c:pt>
                <c:pt idx="38">
                  <c:v>101.8</c:v>
                </c:pt>
                <c:pt idx="39">
                  <c:v>93.2</c:v>
                </c:pt>
                <c:pt idx="40">
                  <c:v>84.2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596416"/>
        <c:axId val="173883776"/>
      </c:lineChart>
      <c:catAx>
        <c:axId val="171596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</c:spPr>
        <c:crossAx val="173883776"/>
        <c:crossesAt val="100"/>
        <c:auto val="1"/>
        <c:lblAlgn val="ctr"/>
        <c:lblOffset val="100"/>
        <c:noMultiLvlLbl val="0"/>
      </c:catAx>
      <c:valAx>
        <c:axId val="173883776"/>
        <c:scaling>
          <c:orientation val="minMax"/>
          <c:max val="135"/>
          <c:min val="70"/>
        </c:scaling>
        <c:delete val="0"/>
        <c:axPos val="l"/>
        <c:numFmt formatCode="0.0" sourceLinked="1"/>
        <c:majorTickMark val="out"/>
        <c:minorTickMark val="none"/>
        <c:tickLblPos val="nextTo"/>
        <c:crossAx val="171596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455726074904024"/>
          <c:y val="2.503288318238607E-2"/>
          <c:w val="0.34081514608349822"/>
          <c:h val="0.1539262780172526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'[Поквартальеная статистика РФ 2007-н.в.xlsx]Лист1'!$B$239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1905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2007-н.в.xlsx]Лист1'!$C$239:$L$239</c:f>
              <c:numCache>
                <c:formatCode>0.0</c:formatCode>
                <c:ptCount val="10"/>
                <c:pt idx="0">
                  <c:v>103.3</c:v>
                </c:pt>
                <c:pt idx="1">
                  <c:v>100.4</c:v>
                </c:pt>
                <c:pt idx="2">
                  <c:v>97.2</c:v>
                </c:pt>
                <c:pt idx="3">
                  <c:v>103.8</c:v>
                </c:pt>
                <c:pt idx="4">
                  <c:v>101.8</c:v>
                </c:pt>
                <c:pt idx="5">
                  <c:v>101</c:v>
                </c:pt>
                <c:pt idx="6">
                  <c:v>101.1</c:v>
                </c:pt>
                <c:pt idx="7">
                  <c:v>101.4</c:v>
                </c:pt>
                <c:pt idx="8">
                  <c:v>100.3</c:v>
                </c:pt>
                <c:pt idx="9">
                  <c:v>102.5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5C5-4A13-8FEE-CA73040A11BC}"/>
            </c:ext>
          </c:extLst>
        </c:ser>
        <c:ser>
          <c:idx val="1"/>
          <c:order val="1"/>
          <c:tx>
            <c:strRef>
              <c:f>'[Поквартальеная статистика РФ 2007-н.в.xlsx]Лист1'!$B$240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2007-н.в.xlsx]Лист1'!$C$240:$L$240</c:f>
              <c:numCache>
                <c:formatCode>0.0</c:formatCode>
                <c:ptCount val="10"/>
                <c:pt idx="0">
                  <c:v>110.5</c:v>
                </c:pt>
                <c:pt idx="1">
                  <c:v>100.5</c:v>
                </c:pt>
                <c:pt idx="2">
                  <c:v>84.8</c:v>
                </c:pt>
                <c:pt idx="3">
                  <c:v>110.6</c:v>
                </c:pt>
                <c:pt idx="4">
                  <c:v>108</c:v>
                </c:pt>
                <c:pt idx="5">
                  <c:v>105.1</c:v>
                </c:pt>
                <c:pt idx="6">
                  <c:v>100.5</c:v>
                </c:pt>
                <c:pt idx="7">
                  <c:v>102.1</c:v>
                </c:pt>
                <c:pt idx="8">
                  <c:v>94.6</c:v>
                </c:pt>
                <c:pt idx="9">
                  <c:v>100.1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5C5-4A13-8FEE-CA73040A11BC}"/>
            </c:ext>
          </c:extLst>
        </c:ser>
        <c:ser>
          <c:idx val="2"/>
          <c:order val="2"/>
          <c:tx>
            <c:strRef>
              <c:f>'[Поквартальеная статистика РФ 2007-н.в.xlsx]Лист1'!$B$255</c:f>
              <c:strCache>
                <c:ptCount val="1"/>
                <c:pt idx="0">
                  <c:v>Производство и распределение  электроэнергии, газа и воды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2007-н.в.xlsx]Лист1'!$C$255:$L$255</c:f>
              <c:numCache>
                <c:formatCode>0.0</c:formatCode>
                <c:ptCount val="10"/>
                <c:pt idx="0">
                  <c:v>99.4</c:v>
                </c:pt>
                <c:pt idx="1">
                  <c:v>100.6</c:v>
                </c:pt>
                <c:pt idx="2">
                  <c:v>97.3</c:v>
                </c:pt>
                <c:pt idx="3">
                  <c:v>102.2</c:v>
                </c:pt>
                <c:pt idx="4">
                  <c:v>100.2</c:v>
                </c:pt>
                <c:pt idx="5">
                  <c:v>101.3</c:v>
                </c:pt>
                <c:pt idx="6">
                  <c:v>97.5</c:v>
                </c:pt>
                <c:pt idx="7">
                  <c:v>99.9</c:v>
                </c:pt>
                <c:pt idx="8">
                  <c:v>98.4</c:v>
                </c:pt>
                <c:pt idx="9">
                  <c:v>101.5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5C5-4A13-8FEE-CA73040A1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894272"/>
        <c:axId val="173896064"/>
      </c:lineChart>
      <c:catAx>
        <c:axId val="17389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73896064"/>
        <c:crossesAt val="100"/>
        <c:auto val="1"/>
        <c:lblAlgn val="ctr"/>
        <c:lblOffset val="100"/>
        <c:noMultiLvlLbl val="0"/>
      </c:catAx>
      <c:valAx>
        <c:axId val="173896064"/>
        <c:scaling>
          <c:orientation val="minMax"/>
          <c:min val="80"/>
        </c:scaling>
        <c:delete val="0"/>
        <c:axPos val="l"/>
        <c:numFmt formatCode="0.0" sourceLinked="1"/>
        <c:majorTickMark val="out"/>
        <c:minorTickMark val="none"/>
        <c:tickLblPos val="nextTo"/>
        <c:crossAx val="17389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745943392868154"/>
          <c:y val="0.61021912746103069"/>
          <c:w val="0.459860752602749"/>
          <c:h val="0.24081553391500521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'[Поквартальеная статистика РФ 2007-н.в.xlsx]Лист1'!$B$241</c:f>
              <c:strCache>
                <c:ptCount val="1"/>
                <c:pt idx="0">
                  <c:v>Пищевая промышленность</c:v>
                </c:pt>
              </c:strCache>
            </c:strRef>
          </c:tx>
          <c:spPr>
            <a:ln w="1905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2007-н.в.xlsx]Лист1'!$C$241:$L$241</c:f>
              <c:numCache>
                <c:formatCode>General</c:formatCode>
                <c:ptCount val="10"/>
                <c:pt idx="0">
                  <c:v>107.3</c:v>
                </c:pt>
                <c:pt idx="1">
                  <c:v>101.9</c:v>
                </c:pt>
                <c:pt idx="2">
                  <c:v>100.3</c:v>
                </c:pt>
                <c:pt idx="3">
                  <c:v>103.2</c:v>
                </c:pt>
                <c:pt idx="4">
                  <c:v>103.9</c:v>
                </c:pt>
                <c:pt idx="5">
                  <c:v>104.1</c:v>
                </c:pt>
                <c:pt idx="6">
                  <c:v>100.6</c:v>
                </c:pt>
                <c:pt idx="7">
                  <c:v>102.5</c:v>
                </c:pt>
                <c:pt idx="8">
                  <c:v>102</c:v>
                </c:pt>
                <c:pt idx="9">
                  <c:v>102.4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6A8-416F-9B80-A537CC658EDD}"/>
            </c:ext>
          </c:extLst>
        </c:ser>
        <c:ser>
          <c:idx val="1"/>
          <c:order val="1"/>
          <c:tx>
            <c:strRef>
              <c:f>'[Поквартальеная статистика РФ 2007-н.в.xlsx]Лист1'!$B$274</c:f>
              <c:strCache>
                <c:ptCount val="1"/>
                <c:pt idx="0">
                  <c:v>Легкая промышленность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2007-н.в.xlsx]Лист1'!$D$275:$M$275</c:f>
              <c:numCache>
                <c:formatCode>0.0</c:formatCode>
                <c:ptCount val="10"/>
                <c:pt idx="0">
                  <c:v>99.823243912249055</c:v>
                </c:pt>
                <c:pt idx="1">
                  <c:v>95.203373808286955</c:v>
                </c:pt>
                <c:pt idx="2">
                  <c:v>85.708889146293004</c:v>
                </c:pt>
                <c:pt idx="3">
                  <c:v>110.38049250280125</c:v>
                </c:pt>
                <c:pt idx="4">
                  <c:v>101.5578659530251</c:v>
                </c:pt>
                <c:pt idx="5">
                  <c:v>100.28146567073497</c:v>
                </c:pt>
                <c:pt idx="6">
                  <c:v>102.9299849911729</c:v>
                </c:pt>
                <c:pt idx="7">
                  <c:v>97.45612235501801</c:v>
                </c:pt>
                <c:pt idx="8">
                  <c:v>88.343762331079759</c:v>
                </c:pt>
                <c:pt idx="9">
                  <c:v>105.27074049197999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6A8-416F-9B80-A537CC658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036480"/>
        <c:axId val="174038016"/>
      </c:lineChart>
      <c:catAx>
        <c:axId val="17403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74038016"/>
        <c:crossesAt val="100"/>
        <c:auto val="1"/>
        <c:lblAlgn val="ctr"/>
        <c:lblOffset val="100"/>
        <c:noMultiLvlLbl val="0"/>
      </c:catAx>
      <c:valAx>
        <c:axId val="174038016"/>
        <c:scaling>
          <c:orientation val="minMax"/>
          <c:min val="80"/>
        </c:scaling>
        <c:delete val="0"/>
        <c:axPos val="l"/>
        <c:numFmt formatCode="General" sourceLinked="1"/>
        <c:majorTickMark val="out"/>
        <c:minorTickMark val="none"/>
        <c:tickLblPos val="nextTo"/>
        <c:crossAx val="17403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09574048342"/>
          <c:y val="5.3515265706469049E-2"/>
          <c:w val="0.33293911790437963"/>
          <c:h val="0.12101663165702908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'[Поквартальеная статистика РФ 2007-н.в.xlsx]Лист1'!$B$266</c:f>
              <c:strCache>
                <c:ptCount val="1"/>
                <c:pt idx="0">
                  <c:v>Деревопереработка</c:v>
                </c:pt>
              </c:strCache>
            </c:strRef>
          </c:tx>
          <c:spPr>
            <a:ln w="1905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2007-н.в.xlsx]Лист1'!$D$266:$M$266</c:f>
              <c:numCache>
                <c:formatCode>0.0</c:formatCode>
                <c:ptCount val="10"/>
                <c:pt idx="0">
                  <c:v>108.17847795294881</c:v>
                </c:pt>
                <c:pt idx="1">
                  <c:v>100.17879078052361</c:v>
                </c:pt>
                <c:pt idx="2">
                  <c:v>81.924305756095833</c:v>
                </c:pt>
                <c:pt idx="3">
                  <c:v>106.02156908994709</c:v>
                </c:pt>
                <c:pt idx="4">
                  <c:v>107.62253395749244</c:v>
                </c:pt>
                <c:pt idx="5">
                  <c:v>102.81772712902384</c:v>
                </c:pt>
                <c:pt idx="6">
                  <c:v>98.6366938758853</c:v>
                </c:pt>
                <c:pt idx="7">
                  <c:v>98.585974775448776</c:v>
                </c:pt>
                <c:pt idx="8">
                  <c:v>94.58654606822229</c:v>
                </c:pt>
                <c:pt idx="9">
                  <c:v>101.42442612539683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CC6-4789-A45F-3FF9DD756778}"/>
            </c:ext>
          </c:extLst>
        </c:ser>
        <c:ser>
          <c:idx val="1"/>
          <c:order val="1"/>
          <c:tx>
            <c:strRef>
              <c:f>'[Поквартальеная статистика РФ 2007-н.в.xlsx]Лист1'!$B$250</c:f>
              <c:strCache>
                <c:ptCount val="1"/>
                <c:pt idx="0">
                  <c:v>Металлургия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2007-н.в.xlsx]Лист1'!$C$250:$L$250</c:f>
              <c:numCache>
                <c:formatCode>General</c:formatCode>
                <c:ptCount val="10"/>
                <c:pt idx="0">
                  <c:v>104.5</c:v>
                </c:pt>
                <c:pt idx="1">
                  <c:v>97.8</c:v>
                </c:pt>
                <c:pt idx="2">
                  <c:v>83.6</c:v>
                </c:pt>
                <c:pt idx="3">
                  <c:v>112.4</c:v>
                </c:pt>
                <c:pt idx="4">
                  <c:v>107</c:v>
                </c:pt>
                <c:pt idx="5">
                  <c:v>104.8</c:v>
                </c:pt>
                <c:pt idx="6">
                  <c:v>100</c:v>
                </c:pt>
                <c:pt idx="7">
                  <c:v>100.6</c:v>
                </c:pt>
                <c:pt idx="8">
                  <c:v>93.5</c:v>
                </c:pt>
                <c:pt idx="9">
                  <c:v>97.7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CC6-4789-A45F-3FF9DD756778}"/>
            </c:ext>
          </c:extLst>
        </c:ser>
        <c:ser>
          <c:idx val="2"/>
          <c:order val="2"/>
          <c:tx>
            <c:strRef>
              <c:f>'[Поквартальеная статистика РФ 2007-н.в.xlsx]Лист1'!$B$246</c:f>
              <c:strCache>
                <c:ptCount val="1"/>
                <c:pt idx="0">
                  <c:v>Производство кокса и нефтепродуктов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2007-н.в.xlsx]Лист1'!$C$246:$L$246</c:f>
              <c:numCache>
                <c:formatCode>General</c:formatCode>
                <c:ptCount val="10"/>
                <c:pt idx="0">
                  <c:v>102.8</c:v>
                </c:pt>
                <c:pt idx="1">
                  <c:v>102.8</c:v>
                </c:pt>
                <c:pt idx="2">
                  <c:v>99.4</c:v>
                </c:pt>
                <c:pt idx="3">
                  <c:v>106</c:v>
                </c:pt>
                <c:pt idx="4">
                  <c:v>103.8</c:v>
                </c:pt>
                <c:pt idx="5">
                  <c:v>103.1</c:v>
                </c:pt>
                <c:pt idx="6">
                  <c:v>102.3</c:v>
                </c:pt>
                <c:pt idx="7">
                  <c:v>105.7</c:v>
                </c:pt>
                <c:pt idx="8">
                  <c:v>100.3</c:v>
                </c:pt>
                <c:pt idx="9">
                  <c:v>97.6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CC6-4789-A45F-3FF9DD756778}"/>
            </c:ext>
          </c:extLst>
        </c:ser>
        <c:ser>
          <c:idx val="3"/>
          <c:order val="3"/>
          <c:tx>
            <c:strRef>
              <c:f>'[Поквартальеная статистика РФ 2007-н.в.xlsx]Лист1'!$B$247</c:f>
              <c:strCache>
                <c:ptCount val="1"/>
                <c:pt idx="0">
                  <c:v>Химическое производство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2007-н.в.xlsx]Лист1'!$C$247:$L$247</c:f>
              <c:numCache>
                <c:formatCode>General</c:formatCode>
                <c:ptCount val="10"/>
                <c:pt idx="0">
                  <c:v>106.6</c:v>
                </c:pt>
                <c:pt idx="1">
                  <c:v>95.4</c:v>
                </c:pt>
                <c:pt idx="2">
                  <c:v>94.6</c:v>
                </c:pt>
                <c:pt idx="3">
                  <c:v>110.6</c:v>
                </c:pt>
                <c:pt idx="4">
                  <c:v>109.5</c:v>
                </c:pt>
                <c:pt idx="5">
                  <c:v>104.1</c:v>
                </c:pt>
                <c:pt idx="6">
                  <c:v>105.4</c:v>
                </c:pt>
                <c:pt idx="7">
                  <c:v>100.1</c:v>
                </c:pt>
                <c:pt idx="8">
                  <c:v>106.3</c:v>
                </c:pt>
                <c:pt idx="9">
                  <c:v>105.3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8CC6-4789-A45F-3FF9DD756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054016"/>
        <c:axId val="174059904"/>
      </c:lineChart>
      <c:catAx>
        <c:axId val="174054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74059904"/>
        <c:crossesAt val="100"/>
        <c:auto val="1"/>
        <c:lblAlgn val="ctr"/>
        <c:lblOffset val="100"/>
        <c:noMultiLvlLbl val="0"/>
      </c:catAx>
      <c:valAx>
        <c:axId val="174059904"/>
        <c:scaling>
          <c:orientation val="minMax"/>
          <c:min val="80"/>
        </c:scaling>
        <c:delete val="0"/>
        <c:axPos val="l"/>
        <c:numFmt formatCode="0.0" sourceLinked="1"/>
        <c:majorTickMark val="out"/>
        <c:minorTickMark val="none"/>
        <c:tickLblPos val="nextTo"/>
        <c:crossAx val="17405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2376786235054"/>
          <c:y val="0.61960330384823814"/>
          <c:w val="0.46801537062769116"/>
          <c:h val="0.23138599758404066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'[Поквартальеная статистика РФ 2007-н.в.xlsx]Лист1'!$B$249</c:f>
              <c:strCache>
                <c:ptCount val="1"/>
                <c:pt idx="0">
                  <c:v>Производство прочих неметаллических минеральных продуктов</c:v>
                </c:pt>
              </c:strCache>
            </c:strRef>
          </c:tx>
          <c:spPr>
            <a:ln w="1905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2007-н.в.xlsx]Лист1'!$C$249:$L$249</c:f>
              <c:numCache>
                <c:formatCode>General</c:formatCode>
                <c:ptCount val="10"/>
                <c:pt idx="0">
                  <c:v>108.3</c:v>
                </c:pt>
                <c:pt idx="1">
                  <c:v>97.1</c:v>
                </c:pt>
                <c:pt idx="2">
                  <c:v>66.8</c:v>
                </c:pt>
                <c:pt idx="3">
                  <c:v>114.5</c:v>
                </c:pt>
                <c:pt idx="4">
                  <c:v>107.4</c:v>
                </c:pt>
                <c:pt idx="5">
                  <c:v>110.7</c:v>
                </c:pt>
                <c:pt idx="6">
                  <c:v>98</c:v>
                </c:pt>
                <c:pt idx="7">
                  <c:v>101.8</c:v>
                </c:pt>
                <c:pt idx="8">
                  <c:v>92.2</c:v>
                </c:pt>
                <c:pt idx="9">
                  <c:v>93.4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26B-4078-A260-59B10B4D7B72}"/>
            </c:ext>
          </c:extLst>
        </c:ser>
        <c:ser>
          <c:idx val="1"/>
          <c:order val="1"/>
          <c:tx>
            <c:strRef>
              <c:f>'[Поквартальеная статистика РФ 2007-н.в.xlsx]Лист1'!$B$251</c:f>
              <c:strCache>
                <c:ptCount val="1"/>
                <c:pt idx="0">
                  <c:v>Производство машин и оборудования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2007-н.в.xlsx]Лист1'!$C$251:$L$251</c:f>
              <c:numCache>
                <c:formatCode>General</c:formatCode>
                <c:ptCount val="10"/>
                <c:pt idx="0">
                  <c:v>126.7</c:v>
                </c:pt>
                <c:pt idx="1">
                  <c:v>99.5</c:v>
                </c:pt>
                <c:pt idx="2">
                  <c:v>66.8</c:v>
                </c:pt>
                <c:pt idx="3">
                  <c:v>115.2</c:v>
                </c:pt>
                <c:pt idx="4">
                  <c:v>111.1</c:v>
                </c:pt>
                <c:pt idx="5">
                  <c:v>102.7</c:v>
                </c:pt>
                <c:pt idx="6">
                  <c:v>96.6</c:v>
                </c:pt>
                <c:pt idx="7">
                  <c:v>92.2</c:v>
                </c:pt>
                <c:pt idx="8">
                  <c:v>88.9</c:v>
                </c:pt>
                <c:pt idx="9">
                  <c:v>103.8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26B-4078-A260-59B10B4D7B72}"/>
            </c:ext>
          </c:extLst>
        </c:ser>
        <c:ser>
          <c:idx val="2"/>
          <c:order val="2"/>
          <c:tx>
            <c:strRef>
              <c:f>'[Поквартальеная статистика РФ 2007-н.в.xlsx]Лист1'!$B$252</c:f>
              <c:strCache>
                <c:ptCount val="1"/>
                <c:pt idx="0">
                  <c:v>Производство электрооборудования, электронного и оптического оборудования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2007-н.в.xlsx]Лист1'!$C$252:$L$252</c:f>
              <c:numCache>
                <c:formatCode>General</c:formatCode>
                <c:ptCount val="10"/>
                <c:pt idx="0">
                  <c:v>110.9</c:v>
                </c:pt>
                <c:pt idx="1">
                  <c:v>92.6</c:v>
                </c:pt>
                <c:pt idx="2">
                  <c:v>68.400000000000006</c:v>
                </c:pt>
                <c:pt idx="3">
                  <c:v>118.9</c:v>
                </c:pt>
                <c:pt idx="4">
                  <c:v>111.9</c:v>
                </c:pt>
                <c:pt idx="5">
                  <c:v>106.4</c:v>
                </c:pt>
                <c:pt idx="6">
                  <c:v>99</c:v>
                </c:pt>
                <c:pt idx="7">
                  <c:v>99.5</c:v>
                </c:pt>
                <c:pt idx="8">
                  <c:v>92.1</c:v>
                </c:pt>
                <c:pt idx="9">
                  <c:v>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26B-4078-A260-59B10B4D7B72}"/>
            </c:ext>
          </c:extLst>
        </c:ser>
        <c:ser>
          <c:idx val="3"/>
          <c:order val="3"/>
          <c:tx>
            <c:strRef>
              <c:f>'[Поквартальеная статистика РФ 2007-н.в.xlsx]Лист1'!$B$253</c:f>
              <c:strCache>
                <c:ptCount val="1"/>
                <c:pt idx="0">
                  <c:v>Производство транспортных средств и оборудования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'[Поквартальеная статистика РФ 2007-н.в.xlsx]Лист1'!$C$176:$L$176</c:f>
              <c:strCache>
                <c:ptCount val="10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</c:strCache>
            </c:strRef>
          </c:cat>
          <c:val>
            <c:numRef>
              <c:f>'[Поквартальеная статистика РФ 2007-н.в.xlsx]Лист1'!$C$253:$L$253</c:f>
              <c:numCache>
                <c:formatCode>General</c:formatCode>
                <c:ptCount val="10"/>
                <c:pt idx="0">
                  <c:v>107.8</c:v>
                </c:pt>
                <c:pt idx="1">
                  <c:v>100.4</c:v>
                </c:pt>
                <c:pt idx="2">
                  <c:v>68.5</c:v>
                </c:pt>
                <c:pt idx="3">
                  <c:v>127.2</c:v>
                </c:pt>
                <c:pt idx="4">
                  <c:v>117.2</c:v>
                </c:pt>
                <c:pt idx="5">
                  <c:v>110.3</c:v>
                </c:pt>
                <c:pt idx="6">
                  <c:v>102.2</c:v>
                </c:pt>
                <c:pt idx="7">
                  <c:v>108.5</c:v>
                </c:pt>
                <c:pt idx="8">
                  <c:v>91.5</c:v>
                </c:pt>
                <c:pt idx="9">
                  <c:v>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326B-4078-A260-59B10B4D7B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845952"/>
        <c:axId val="174847488"/>
      </c:lineChart>
      <c:catAx>
        <c:axId val="17484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74847488"/>
        <c:crossesAt val="100"/>
        <c:auto val="1"/>
        <c:lblAlgn val="ctr"/>
        <c:lblOffset val="100"/>
        <c:noMultiLvlLbl val="0"/>
      </c:catAx>
      <c:valAx>
        <c:axId val="174847488"/>
        <c:scaling>
          <c:orientation val="minMax"/>
          <c:min val="50"/>
        </c:scaling>
        <c:delete val="0"/>
        <c:axPos val="l"/>
        <c:numFmt formatCode="General" sourceLinked="1"/>
        <c:majorTickMark val="out"/>
        <c:minorTickMark val="none"/>
        <c:tickLblPos val="nextTo"/>
        <c:crossAx val="17484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908702588647005"/>
          <c:y val="0.56975907407474902"/>
          <c:w val="0.59001972792616597"/>
          <c:h val="0.32751415500434106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1FE0-8385-4C36-81CE-3F78ADF5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9295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Екатерина Г. Леонидова</cp:lastModifiedBy>
  <cp:revision>2</cp:revision>
  <dcterms:created xsi:type="dcterms:W3CDTF">2017-05-12T10:34:00Z</dcterms:created>
  <dcterms:modified xsi:type="dcterms:W3CDTF">2017-05-12T10:34:00Z</dcterms:modified>
</cp:coreProperties>
</file>