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B" w:rsidRPr="00B67351" w:rsidRDefault="0075780B" w:rsidP="00B67351">
      <w:pPr>
        <w:pStyle w:val="2"/>
        <w:shd w:val="clear" w:color="auto" w:fill="auto"/>
        <w:spacing w:after="0" w:line="360" w:lineRule="auto"/>
        <w:jc w:val="left"/>
        <w:rPr>
          <w:color w:val="000000"/>
          <w:sz w:val="25"/>
          <w:szCs w:val="25"/>
          <w:lang w:eastAsia="ru-RU" w:bidi="ru-RU"/>
        </w:rPr>
      </w:pPr>
      <w:r w:rsidRPr="00B67351">
        <w:rPr>
          <w:color w:val="000000"/>
          <w:sz w:val="25"/>
          <w:szCs w:val="25"/>
          <w:lang w:eastAsia="ru-RU" w:bidi="ru-RU"/>
        </w:rPr>
        <w:t>УДК 336.3</w:t>
      </w:r>
    </w:p>
    <w:p w:rsidR="006643CD" w:rsidRPr="00B67351" w:rsidRDefault="006643CD" w:rsidP="00B67351">
      <w:pPr>
        <w:pStyle w:val="2"/>
        <w:shd w:val="clear" w:color="auto" w:fill="auto"/>
        <w:spacing w:after="0" w:line="360" w:lineRule="auto"/>
        <w:ind w:firstLine="709"/>
        <w:jc w:val="right"/>
        <w:rPr>
          <w:b/>
          <w:color w:val="000000"/>
          <w:sz w:val="25"/>
          <w:szCs w:val="25"/>
          <w:lang w:eastAsia="ru-RU" w:bidi="ru-RU"/>
        </w:rPr>
      </w:pPr>
      <w:r w:rsidRPr="00B67351">
        <w:rPr>
          <w:b/>
          <w:color w:val="000000"/>
          <w:sz w:val="25"/>
          <w:szCs w:val="25"/>
          <w:lang w:eastAsia="ru-RU" w:bidi="ru-RU"/>
        </w:rPr>
        <w:t>Галухин</w:t>
      </w:r>
      <w:r w:rsidR="00212491" w:rsidRPr="00B67351">
        <w:rPr>
          <w:b/>
          <w:color w:val="000000"/>
          <w:sz w:val="25"/>
          <w:szCs w:val="25"/>
          <w:lang w:eastAsia="ru-RU" w:bidi="ru-RU"/>
        </w:rPr>
        <w:t xml:space="preserve"> А.В.</w:t>
      </w:r>
    </w:p>
    <w:p w:rsidR="006643CD" w:rsidRPr="00B67351" w:rsidRDefault="006A56E7" w:rsidP="00B67351">
      <w:pPr>
        <w:pStyle w:val="2"/>
        <w:shd w:val="clear" w:color="auto" w:fill="auto"/>
        <w:spacing w:after="0" w:line="360" w:lineRule="auto"/>
        <w:rPr>
          <w:b/>
          <w:caps/>
          <w:color w:val="000000"/>
          <w:sz w:val="25"/>
          <w:szCs w:val="25"/>
          <w:lang w:eastAsia="ru-RU" w:bidi="ru-RU"/>
        </w:rPr>
      </w:pPr>
      <w:r w:rsidRPr="00B67351">
        <w:rPr>
          <w:b/>
          <w:caps/>
          <w:color w:val="000000"/>
          <w:sz w:val="25"/>
          <w:szCs w:val="25"/>
          <w:lang w:eastAsia="ru-RU" w:bidi="ru-RU"/>
        </w:rPr>
        <w:t>кластерный анализ долговой устойчивости регионов Российской федерации</w:t>
      </w:r>
    </w:p>
    <w:p w:rsidR="009A5FCC" w:rsidRPr="00B67351" w:rsidRDefault="009A5FCC" w:rsidP="00B67351">
      <w:pPr>
        <w:pStyle w:val="2"/>
        <w:shd w:val="clear" w:color="auto" w:fill="auto"/>
        <w:spacing w:after="0" w:line="360" w:lineRule="auto"/>
        <w:ind w:firstLine="709"/>
        <w:jc w:val="both"/>
        <w:rPr>
          <w:color w:val="000000"/>
          <w:sz w:val="25"/>
          <w:szCs w:val="25"/>
          <w:lang w:eastAsia="ru-RU" w:bidi="ru-RU"/>
        </w:rPr>
      </w:pPr>
    </w:p>
    <w:p w:rsidR="006643CD" w:rsidRPr="00B67351" w:rsidRDefault="009A5FCC" w:rsidP="00B67351">
      <w:pPr>
        <w:pStyle w:val="2"/>
        <w:shd w:val="clear" w:color="auto" w:fill="auto"/>
        <w:spacing w:after="0" w:line="360" w:lineRule="auto"/>
        <w:ind w:firstLine="709"/>
        <w:jc w:val="both"/>
        <w:rPr>
          <w:i/>
          <w:color w:val="000000"/>
          <w:sz w:val="25"/>
          <w:szCs w:val="25"/>
          <w:lang w:eastAsia="ru-RU" w:bidi="ru-RU"/>
        </w:rPr>
      </w:pPr>
      <w:r w:rsidRPr="00B67351">
        <w:rPr>
          <w:i/>
          <w:color w:val="000000"/>
          <w:sz w:val="25"/>
          <w:szCs w:val="25"/>
          <w:lang w:eastAsia="ru-RU" w:bidi="ru-RU"/>
        </w:rPr>
        <w:t>В статье</w:t>
      </w:r>
      <w:r w:rsidR="003B4345" w:rsidRPr="00B67351">
        <w:rPr>
          <w:i/>
          <w:color w:val="000000"/>
          <w:sz w:val="25"/>
          <w:szCs w:val="25"/>
          <w:lang w:eastAsia="ru-RU" w:bidi="ru-RU"/>
        </w:rPr>
        <w:t xml:space="preserve"> проведен кластерный анализ распределения регионов по группам долговой устойчивости. </w:t>
      </w:r>
      <w:r w:rsidR="00D31DDA" w:rsidRPr="00B67351">
        <w:rPr>
          <w:i/>
          <w:color w:val="000000"/>
          <w:sz w:val="25"/>
          <w:szCs w:val="25"/>
          <w:lang w:eastAsia="ru-RU" w:bidi="ru-RU"/>
        </w:rPr>
        <w:t xml:space="preserve">С помощью </w:t>
      </w:r>
      <w:proofErr w:type="spellStart"/>
      <w:r w:rsidR="00D31DDA" w:rsidRPr="00B67351">
        <w:rPr>
          <w:i/>
          <w:color w:val="000000"/>
          <w:sz w:val="25"/>
          <w:szCs w:val="25"/>
          <w:lang w:eastAsia="ru-RU" w:bidi="ru-RU"/>
        </w:rPr>
        <w:t>дендрограммы</w:t>
      </w:r>
      <w:proofErr w:type="spellEnd"/>
      <w:r w:rsidR="00D31DDA" w:rsidRPr="00B67351">
        <w:rPr>
          <w:i/>
          <w:color w:val="000000"/>
          <w:sz w:val="25"/>
          <w:szCs w:val="25"/>
          <w:lang w:eastAsia="ru-RU" w:bidi="ru-RU"/>
        </w:rPr>
        <w:t xml:space="preserve"> и расчета </w:t>
      </w:r>
      <w:r w:rsidR="00D31DDA" w:rsidRPr="00B67351">
        <w:rPr>
          <w:rFonts w:eastAsia="MS Mincho"/>
          <w:i/>
          <w:sz w:val="25"/>
          <w:szCs w:val="25"/>
          <w:lang w:eastAsia="ru-RU"/>
        </w:rPr>
        <w:t xml:space="preserve">критерия </w:t>
      </w:r>
      <w:proofErr w:type="spellStart"/>
      <w:r w:rsidR="00D31DDA" w:rsidRPr="00B67351">
        <w:rPr>
          <w:rFonts w:eastAsia="MS Mincho"/>
          <w:i/>
          <w:sz w:val="25"/>
          <w:szCs w:val="25"/>
          <w:lang w:eastAsia="ru-RU"/>
        </w:rPr>
        <w:t>Calinski</w:t>
      </w:r>
      <w:proofErr w:type="spellEnd"/>
      <w:r w:rsidR="00D31DDA" w:rsidRPr="00B67351">
        <w:rPr>
          <w:rFonts w:eastAsia="MS Mincho"/>
          <w:i/>
          <w:sz w:val="25"/>
          <w:szCs w:val="25"/>
          <w:lang w:eastAsia="ru-RU"/>
        </w:rPr>
        <w:t>–</w:t>
      </w:r>
      <w:proofErr w:type="spellStart"/>
      <w:r w:rsidR="00D31DDA" w:rsidRPr="00B67351">
        <w:rPr>
          <w:rFonts w:eastAsia="MS Mincho"/>
          <w:i/>
          <w:sz w:val="25"/>
          <w:szCs w:val="25"/>
          <w:lang w:eastAsia="ru-RU"/>
        </w:rPr>
        <w:t>Harabaszpseudo</w:t>
      </w:r>
      <w:proofErr w:type="spellEnd"/>
      <w:r w:rsidR="00D31DDA" w:rsidRPr="00B67351">
        <w:rPr>
          <w:rFonts w:eastAsia="MS Mincho"/>
          <w:i/>
          <w:sz w:val="25"/>
          <w:szCs w:val="25"/>
          <w:lang w:eastAsia="ru-RU"/>
        </w:rPr>
        <w:t xml:space="preserve">-F определено оптимальное число кластеров. В результате разбиения методом </w:t>
      </w:r>
      <w:r w:rsidR="00D31DDA" w:rsidRPr="00B67351">
        <w:rPr>
          <w:rFonts w:eastAsia="MS Mincho"/>
          <w:i/>
          <w:sz w:val="25"/>
          <w:szCs w:val="25"/>
          <w:lang w:val="en-US" w:eastAsia="ru-RU"/>
        </w:rPr>
        <w:t>k</w:t>
      </w:r>
      <w:r w:rsidR="00D31DDA" w:rsidRPr="00B67351">
        <w:rPr>
          <w:rFonts w:eastAsia="MS Mincho"/>
          <w:i/>
          <w:sz w:val="25"/>
          <w:szCs w:val="25"/>
          <w:lang w:eastAsia="ru-RU"/>
        </w:rPr>
        <w:t>-средних</w:t>
      </w:r>
      <w:r w:rsidR="00B61E2A" w:rsidRPr="00B67351">
        <w:rPr>
          <w:rFonts w:eastAsia="MS Mincho"/>
          <w:i/>
          <w:sz w:val="25"/>
          <w:szCs w:val="25"/>
          <w:lang w:eastAsia="ru-RU"/>
        </w:rPr>
        <w:t xml:space="preserve"> более 30 регионов </w:t>
      </w:r>
      <w:r w:rsidR="00212491" w:rsidRPr="00B67351">
        <w:rPr>
          <w:rFonts w:eastAsia="MS Mincho"/>
          <w:i/>
          <w:sz w:val="25"/>
          <w:szCs w:val="25"/>
          <w:lang w:eastAsia="ru-RU"/>
        </w:rPr>
        <w:t xml:space="preserve">в 2016 году </w:t>
      </w:r>
      <w:r w:rsidR="00B61E2A" w:rsidRPr="00B67351">
        <w:rPr>
          <w:rFonts w:eastAsia="MS Mincho"/>
          <w:i/>
          <w:sz w:val="25"/>
          <w:szCs w:val="25"/>
          <w:lang w:eastAsia="ru-RU"/>
        </w:rPr>
        <w:t>вошли в группу с низкой и ниже среднего долговой устойчивостью.</w:t>
      </w:r>
    </w:p>
    <w:p w:rsidR="0036131F" w:rsidRPr="00B67351" w:rsidRDefault="0036131F" w:rsidP="00B67351">
      <w:pPr>
        <w:pStyle w:val="2"/>
        <w:shd w:val="clear" w:color="auto" w:fill="auto"/>
        <w:spacing w:after="0" w:line="360" w:lineRule="auto"/>
        <w:ind w:firstLine="709"/>
        <w:jc w:val="both"/>
        <w:rPr>
          <w:i/>
          <w:color w:val="000000"/>
          <w:sz w:val="25"/>
          <w:szCs w:val="25"/>
          <w:lang w:eastAsia="ru-RU" w:bidi="ru-RU"/>
        </w:rPr>
      </w:pPr>
      <w:r w:rsidRPr="00B67351">
        <w:rPr>
          <w:i/>
          <w:color w:val="000000"/>
          <w:sz w:val="25"/>
          <w:szCs w:val="25"/>
          <w:lang w:eastAsia="ru-RU" w:bidi="ru-RU"/>
        </w:rPr>
        <w:t xml:space="preserve">Ключевые слова: региональный бюджет, </w:t>
      </w:r>
      <w:r w:rsidR="004000F7" w:rsidRPr="00B67351">
        <w:rPr>
          <w:i/>
          <w:color w:val="000000"/>
          <w:sz w:val="25"/>
          <w:szCs w:val="25"/>
          <w:lang w:eastAsia="ru-RU" w:bidi="ru-RU"/>
        </w:rPr>
        <w:t>государственный долг, долговая устойчивость</w:t>
      </w:r>
      <w:r w:rsidRPr="00B67351">
        <w:rPr>
          <w:i/>
          <w:color w:val="000000"/>
          <w:sz w:val="25"/>
          <w:szCs w:val="25"/>
          <w:lang w:eastAsia="ru-RU" w:bidi="ru-RU"/>
        </w:rPr>
        <w:t>,</w:t>
      </w:r>
      <w:r w:rsidR="004000F7" w:rsidRPr="00B67351">
        <w:rPr>
          <w:i/>
          <w:color w:val="000000"/>
          <w:sz w:val="25"/>
          <w:szCs w:val="25"/>
          <w:lang w:eastAsia="ru-RU" w:bidi="ru-RU"/>
        </w:rPr>
        <w:t xml:space="preserve"> кластерный анализ</w:t>
      </w:r>
      <w:r w:rsidRPr="00B67351">
        <w:rPr>
          <w:i/>
          <w:color w:val="000000"/>
          <w:sz w:val="25"/>
          <w:szCs w:val="25"/>
          <w:lang w:eastAsia="ru-RU" w:bidi="ru-RU"/>
        </w:rPr>
        <w:t>.</w:t>
      </w:r>
    </w:p>
    <w:p w:rsidR="009A5FCC" w:rsidRPr="00B67351" w:rsidRDefault="009A5FCC" w:rsidP="00B67351">
      <w:pPr>
        <w:pStyle w:val="2"/>
        <w:shd w:val="clear" w:color="auto" w:fill="auto"/>
        <w:spacing w:after="0" w:line="360" w:lineRule="auto"/>
        <w:ind w:firstLine="709"/>
        <w:jc w:val="both"/>
        <w:rPr>
          <w:i/>
          <w:color w:val="000000"/>
          <w:sz w:val="25"/>
          <w:szCs w:val="25"/>
          <w:lang w:eastAsia="ru-RU" w:bidi="ru-RU"/>
        </w:rPr>
      </w:pPr>
    </w:p>
    <w:p w:rsidR="004000F7" w:rsidRPr="00B67351" w:rsidRDefault="00B61E2A" w:rsidP="00B67351">
      <w:pPr>
        <w:pStyle w:val="2"/>
        <w:shd w:val="clear" w:color="auto" w:fill="auto"/>
        <w:spacing w:after="0" w:line="360" w:lineRule="auto"/>
        <w:ind w:firstLine="709"/>
        <w:jc w:val="both"/>
        <w:rPr>
          <w:color w:val="000000"/>
          <w:sz w:val="25"/>
          <w:szCs w:val="25"/>
          <w:lang w:eastAsia="ru-RU" w:bidi="ru-RU"/>
        </w:rPr>
      </w:pPr>
      <w:r w:rsidRPr="00B67351">
        <w:rPr>
          <w:color w:val="000000"/>
          <w:sz w:val="25"/>
          <w:szCs w:val="25"/>
          <w:lang w:eastAsia="ru-RU" w:bidi="ru-RU"/>
        </w:rPr>
        <w:t xml:space="preserve">В результате двух экономических кризисов, разразившихся в России </w:t>
      </w:r>
      <w:r w:rsidR="00E040A5" w:rsidRPr="00B67351">
        <w:rPr>
          <w:color w:val="000000"/>
          <w:sz w:val="25"/>
          <w:szCs w:val="25"/>
          <w:lang w:eastAsia="ru-RU" w:bidi="ru-RU"/>
        </w:rPr>
        <w:t>за последнее десятилетие и приведших к стагнации доходов бюджетной системы страны, на фоне роста социальных расходов</w:t>
      </w:r>
      <w:r w:rsidR="00212491" w:rsidRPr="00B67351">
        <w:rPr>
          <w:color w:val="000000"/>
          <w:sz w:val="25"/>
          <w:szCs w:val="25"/>
          <w:lang w:eastAsia="ru-RU" w:bidi="ru-RU"/>
        </w:rPr>
        <w:t>, усиливавшего</w:t>
      </w:r>
      <w:r w:rsidR="00E040A5" w:rsidRPr="00B67351">
        <w:rPr>
          <w:color w:val="000000"/>
          <w:sz w:val="25"/>
          <w:szCs w:val="25"/>
          <w:lang w:eastAsia="ru-RU" w:bidi="ru-RU"/>
        </w:rPr>
        <w:t xml:space="preserve"> дисбаланс бюджетов, накопленный на начало 2017 года государственный долг регионов приблизи</w:t>
      </w:r>
      <w:r w:rsidR="00A61E21" w:rsidRPr="00B67351">
        <w:rPr>
          <w:color w:val="000000"/>
          <w:sz w:val="25"/>
          <w:szCs w:val="25"/>
          <w:lang w:eastAsia="ru-RU" w:bidi="ru-RU"/>
        </w:rPr>
        <w:t xml:space="preserve">лся к отметке в 2,4 трлн. руб. или </w:t>
      </w:r>
      <w:r w:rsidR="00E040A5" w:rsidRPr="00B67351">
        <w:rPr>
          <w:color w:val="000000"/>
          <w:sz w:val="25"/>
          <w:szCs w:val="25"/>
          <w:lang w:eastAsia="ru-RU" w:bidi="ru-RU"/>
        </w:rPr>
        <w:t>34% собственных доходов</w:t>
      </w:r>
      <w:r w:rsidR="00A61E21" w:rsidRPr="00B67351">
        <w:rPr>
          <w:color w:val="000000"/>
          <w:sz w:val="25"/>
          <w:szCs w:val="25"/>
          <w:lang w:eastAsia="ru-RU" w:bidi="ru-RU"/>
        </w:rPr>
        <w:t xml:space="preserve"> (рис. 1)</w:t>
      </w:r>
      <w:r w:rsidR="00E040A5" w:rsidRPr="00B67351">
        <w:rPr>
          <w:color w:val="000000"/>
          <w:sz w:val="25"/>
          <w:szCs w:val="25"/>
          <w:lang w:eastAsia="ru-RU" w:bidi="ru-RU"/>
        </w:rPr>
        <w:t xml:space="preserve">. </w:t>
      </w:r>
      <w:r w:rsidR="00A61E21" w:rsidRPr="00B67351">
        <w:rPr>
          <w:color w:val="000000"/>
          <w:sz w:val="25"/>
          <w:szCs w:val="25"/>
          <w:lang w:eastAsia="ru-RU" w:bidi="ru-RU"/>
        </w:rPr>
        <w:t>При этом в семи субъектах РФ уровень долговой нагрузки в 2016 году превышал 100% налоговых и неналоговых доходов (Республика Мордовия, Костромская область, Астраханская область, Республика Карелия, Смоленская область, Республика Марий Эл, Еврейская автономная область).</w:t>
      </w:r>
    </w:p>
    <w:p w:rsidR="00A61E21" w:rsidRDefault="00A61E21" w:rsidP="00A61E21">
      <w:pPr>
        <w:spacing w:after="0" w:line="240" w:lineRule="auto"/>
        <w:rPr>
          <w:sz w:val="24"/>
          <w:szCs w:val="24"/>
        </w:rPr>
      </w:pPr>
      <w:r>
        <w:rPr>
          <w:noProof/>
          <w:sz w:val="24"/>
          <w:szCs w:val="24"/>
          <w:lang w:eastAsia="ru-RU"/>
        </w:rPr>
        <w:drawing>
          <wp:inline distT="0" distB="0" distL="0" distR="0" wp14:anchorId="3F9A2FAF" wp14:editId="19242EF5">
            <wp:extent cx="6029325" cy="27146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1E21" w:rsidRDefault="00A61E21" w:rsidP="00B67351">
      <w:pPr>
        <w:spacing w:after="0" w:line="240" w:lineRule="auto"/>
        <w:jc w:val="center"/>
        <w:rPr>
          <w:rFonts w:ascii="Times New Roman" w:hAnsi="Times New Roman"/>
          <w:sz w:val="24"/>
          <w:szCs w:val="24"/>
        </w:rPr>
      </w:pPr>
      <w:r w:rsidRPr="00E05C92">
        <w:rPr>
          <w:rFonts w:ascii="Times New Roman" w:hAnsi="Times New Roman"/>
          <w:sz w:val="24"/>
          <w:szCs w:val="24"/>
        </w:rPr>
        <w:t>Рис</w:t>
      </w:r>
      <w:r>
        <w:rPr>
          <w:rFonts w:ascii="Times New Roman" w:hAnsi="Times New Roman"/>
          <w:sz w:val="24"/>
          <w:szCs w:val="24"/>
        </w:rPr>
        <w:t>унок</w:t>
      </w:r>
      <w:r w:rsidRPr="00E05C92">
        <w:rPr>
          <w:rFonts w:ascii="Times New Roman" w:hAnsi="Times New Roman"/>
          <w:sz w:val="24"/>
          <w:szCs w:val="24"/>
        </w:rPr>
        <w:t xml:space="preserve"> </w:t>
      </w:r>
      <w:r>
        <w:rPr>
          <w:rFonts w:ascii="Times New Roman" w:hAnsi="Times New Roman"/>
          <w:sz w:val="24"/>
          <w:szCs w:val="24"/>
        </w:rPr>
        <w:t xml:space="preserve">1 - Объем </w:t>
      </w:r>
      <w:r w:rsidRPr="00E05C92">
        <w:rPr>
          <w:rFonts w:ascii="Times New Roman" w:hAnsi="Times New Roman"/>
          <w:sz w:val="24"/>
          <w:szCs w:val="24"/>
        </w:rPr>
        <w:t xml:space="preserve">государственного долга регионов РФ в 2007-2016 гг. </w:t>
      </w:r>
    </w:p>
    <w:p w:rsidR="00A61E21" w:rsidRPr="00E05C92" w:rsidRDefault="00A61E21" w:rsidP="00B67351">
      <w:pPr>
        <w:spacing w:after="0" w:line="240" w:lineRule="auto"/>
        <w:jc w:val="center"/>
        <w:rPr>
          <w:rFonts w:ascii="Times New Roman" w:hAnsi="Times New Roman"/>
          <w:sz w:val="24"/>
          <w:szCs w:val="24"/>
        </w:rPr>
      </w:pPr>
      <w:r w:rsidRPr="00E05C92">
        <w:rPr>
          <w:rFonts w:ascii="Times New Roman" w:hAnsi="Times New Roman"/>
          <w:sz w:val="24"/>
          <w:szCs w:val="24"/>
        </w:rPr>
        <w:t>(данные на конец каждого года)</w:t>
      </w:r>
    </w:p>
    <w:p w:rsidR="00A61E21" w:rsidRDefault="00A61E21" w:rsidP="00B67351">
      <w:pPr>
        <w:spacing w:after="0" w:line="240" w:lineRule="auto"/>
        <w:rPr>
          <w:rFonts w:ascii="Times New Roman" w:hAnsi="Times New Roman"/>
          <w:sz w:val="24"/>
          <w:szCs w:val="24"/>
        </w:rPr>
      </w:pPr>
      <w:r w:rsidRPr="00E05C92">
        <w:rPr>
          <w:rFonts w:ascii="Times New Roman" w:hAnsi="Times New Roman"/>
          <w:sz w:val="24"/>
          <w:szCs w:val="24"/>
        </w:rPr>
        <w:t>Источник: данные Минфин России</w:t>
      </w:r>
    </w:p>
    <w:p w:rsidR="00B67351" w:rsidRDefault="00B67351" w:rsidP="00B67351">
      <w:pPr>
        <w:spacing w:after="0" w:line="240" w:lineRule="auto"/>
        <w:rPr>
          <w:rFonts w:ascii="Times New Roman" w:hAnsi="Times New Roman"/>
          <w:sz w:val="24"/>
          <w:szCs w:val="24"/>
        </w:rPr>
      </w:pPr>
    </w:p>
    <w:p w:rsidR="00A61E21" w:rsidRPr="00B67351" w:rsidRDefault="00A61E21" w:rsidP="00B67351">
      <w:pPr>
        <w:pStyle w:val="2"/>
        <w:shd w:val="clear" w:color="auto" w:fill="auto"/>
        <w:spacing w:after="0" w:line="360" w:lineRule="auto"/>
        <w:ind w:firstLine="709"/>
        <w:jc w:val="both"/>
        <w:rPr>
          <w:color w:val="000000"/>
          <w:sz w:val="25"/>
          <w:szCs w:val="25"/>
          <w:lang w:eastAsia="ru-RU" w:bidi="ru-RU"/>
        </w:rPr>
      </w:pPr>
      <w:r w:rsidRPr="00B67351">
        <w:rPr>
          <w:color w:val="000000"/>
          <w:sz w:val="25"/>
          <w:szCs w:val="25"/>
          <w:lang w:eastAsia="ru-RU" w:bidi="ru-RU"/>
        </w:rPr>
        <w:lastRenderedPageBreak/>
        <w:t>Расходы на обслуживание и погашение заимствований и государственных гарантий в 2016 году составили рекордные 2,25 трлн. руб. В общем объеме расходов региональных бюджетов расходы на исполнение долговых обязательств превысили уровень в 34% (рис. 2). Данные тенденции подтверждают актуальность исследования проблематики долговой устойчивости регионов.</w:t>
      </w:r>
    </w:p>
    <w:p w:rsidR="00A61E21" w:rsidRDefault="00A61E21" w:rsidP="00A61E21">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61C97E85" wp14:editId="0A079D38">
            <wp:extent cx="6181725" cy="33623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1E21" w:rsidRDefault="00A61E21" w:rsidP="00A61E21">
      <w:pPr>
        <w:spacing w:after="0" w:line="240" w:lineRule="auto"/>
        <w:jc w:val="center"/>
        <w:rPr>
          <w:rFonts w:ascii="Times New Roman" w:hAnsi="Times New Roman"/>
          <w:sz w:val="24"/>
          <w:szCs w:val="24"/>
        </w:rPr>
      </w:pPr>
      <w:r>
        <w:rPr>
          <w:rFonts w:ascii="Times New Roman" w:hAnsi="Times New Roman"/>
          <w:sz w:val="24"/>
          <w:szCs w:val="24"/>
        </w:rPr>
        <w:t>Рисунок 2 - Расходы на обслуживание и погашение государственного долга регионов РФ в 2007-2016 гг.</w:t>
      </w:r>
    </w:p>
    <w:p w:rsidR="00A61E21" w:rsidRPr="00527E17" w:rsidRDefault="00A61E21" w:rsidP="00A61E21">
      <w:pPr>
        <w:autoSpaceDE w:val="0"/>
        <w:autoSpaceDN w:val="0"/>
        <w:adjustRightInd w:val="0"/>
        <w:spacing w:after="0" w:line="360" w:lineRule="auto"/>
        <w:jc w:val="both"/>
        <w:rPr>
          <w:rFonts w:ascii="Times New Roman" w:hAnsi="Times New Roman"/>
          <w:sz w:val="24"/>
          <w:szCs w:val="28"/>
        </w:rPr>
      </w:pPr>
      <w:r w:rsidRPr="00527E17">
        <w:rPr>
          <w:rFonts w:ascii="Times New Roman" w:hAnsi="Times New Roman"/>
          <w:sz w:val="24"/>
          <w:szCs w:val="28"/>
        </w:rPr>
        <w:t>Источник: данные Федерального казначейства</w:t>
      </w:r>
    </w:p>
    <w:p w:rsidR="00A61E21" w:rsidRPr="00372236" w:rsidRDefault="00A61E21" w:rsidP="00B3032B">
      <w:pPr>
        <w:pStyle w:val="2"/>
        <w:shd w:val="clear" w:color="auto" w:fill="auto"/>
        <w:spacing w:after="0" w:line="360" w:lineRule="auto"/>
        <w:ind w:firstLine="709"/>
        <w:jc w:val="both"/>
        <w:rPr>
          <w:color w:val="000000"/>
          <w:sz w:val="24"/>
          <w:szCs w:val="28"/>
          <w:lang w:eastAsia="ru-RU" w:bidi="ru-RU"/>
        </w:rPr>
      </w:pPr>
    </w:p>
    <w:p w:rsidR="002953B7" w:rsidRPr="00B67351" w:rsidRDefault="002953B7" w:rsidP="00B67351">
      <w:pPr>
        <w:pStyle w:val="af0"/>
        <w:spacing w:line="360" w:lineRule="auto"/>
        <w:ind w:firstLine="709"/>
        <w:jc w:val="both"/>
        <w:rPr>
          <w:rFonts w:ascii="Times New Roman" w:hAnsi="Times New Roman" w:cs="Times New Roman"/>
          <w:color w:val="000000"/>
          <w:sz w:val="25"/>
          <w:szCs w:val="25"/>
          <w:lang w:eastAsia="ru-RU" w:bidi="ru-RU"/>
        </w:rPr>
      </w:pPr>
      <w:r w:rsidRPr="00B67351">
        <w:rPr>
          <w:rFonts w:ascii="Times New Roman" w:hAnsi="Times New Roman" w:cs="Times New Roman"/>
          <w:color w:val="000000"/>
          <w:sz w:val="25"/>
          <w:szCs w:val="25"/>
          <w:lang w:eastAsia="ru-RU" w:bidi="ru-RU"/>
        </w:rPr>
        <w:t>Под управлением долговой устойчивостью бюджетов регионов понимаем деятельность органов власти, осуществляемую в целях привлечения финансовых ресурсов для выполнения расходных и ранее взятых долговых обязательств, посредством применяемых для обеспечения этого управленческих решений, методов и инструментов</w:t>
      </w:r>
      <w:r w:rsidR="00520B36">
        <w:rPr>
          <w:rFonts w:ascii="Times New Roman" w:hAnsi="Times New Roman" w:cs="Times New Roman"/>
          <w:color w:val="000000"/>
          <w:sz w:val="25"/>
          <w:szCs w:val="25"/>
          <w:lang w:eastAsia="ru-RU" w:bidi="ru-RU"/>
        </w:rPr>
        <w:t xml:space="preserve"> [2]</w:t>
      </w:r>
      <w:r w:rsidRPr="00B67351">
        <w:rPr>
          <w:rFonts w:ascii="Times New Roman" w:hAnsi="Times New Roman" w:cs="Times New Roman"/>
          <w:color w:val="000000"/>
          <w:sz w:val="25"/>
          <w:szCs w:val="25"/>
          <w:lang w:eastAsia="ru-RU" w:bidi="ru-RU"/>
        </w:rPr>
        <w:t>.</w:t>
      </w:r>
    </w:p>
    <w:p w:rsidR="00B3032B" w:rsidRPr="00B67351" w:rsidRDefault="006D7F8E" w:rsidP="00B67351">
      <w:pPr>
        <w:pStyle w:val="af0"/>
        <w:spacing w:line="360" w:lineRule="auto"/>
        <w:ind w:firstLine="709"/>
        <w:jc w:val="both"/>
        <w:rPr>
          <w:rFonts w:ascii="Times New Roman" w:hAnsi="Times New Roman" w:cs="Times New Roman"/>
          <w:color w:val="000000"/>
          <w:sz w:val="25"/>
          <w:szCs w:val="25"/>
          <w:lang w:eastAsia="ru-RU" w:bidi="ru-RU"/>
        </w:rPr>
      </w:pPr>
      <w:r w:rsidRPr="00B67351">
        <w:rPr>
          <w:rFonts w:ascii="Times New Roman" w:hAnsi="Times New Roman" w:cs="Times New Roman"/>
          <w:color w:val="000000"/>
          <w:sz w:val="25"/>
          <w:szCs w:val="25"/>
          <w:lang w:eastAsia="ru-RU" w:bidi="ru-RU"/>
        </w:rPr>
        <w:t>Ключевое место в затрагиваемой проблематике занимают вопросы, связанные с методическим обеспечением уп</w:t>
      </w:r>
      <w:r w:rsidR="00475846" w:rsidRPr="00B67351">
        <w:rPr>
          <w:rFonts w:ascii="Times New Roman" w:hAnsi="Times New Roman" w:cs="Times New Roman"/>
          <w:color w:val="000000"/>
          <w:sz w:val="25"/>
          <w:szCs w:val="25"/>
          <w:lang w:eastAsia="ru-RU" w:bidi="ru-RU"/>
        </w:rPr>
        <w:t xml:space="preserve">равления долговой устойчивостью, поскольку данный </w:t>
      </w:r>
      <w:r w:rsidR="00212491" w:rsidRPr="00B67351">
        <w:rPr>
          <w:rFonts w:ascii="Times New Roman" w:hAnsi="Times New Roman" w:cs="Times New Roman"/>
          <w:color w:val="000000"/>
          <w:sz w:val="25"/>
          <w:szCs w:val="25"/>
          <w:lang w:eastAsia="ru-RU" w:bidi="ru-RU"/>
        </w:rPr>
        <w:t>инструментарий</w:t>
      </w:r>
      <w:r w:rsidR="00475846" w:rsidRPr="00B67351">
        <w:rPr>
          <w:rFonts w:ascii="Times New Roman" w:hAnsi="Times New Roman" w:cs="Times New Roman"/>
          <w:color w:val="000000"/>
          <w:sz w:val="25"/>
          <w:szCs w:val="25"/>
          <w:lang w:eastAsia="ru-RU" w:bidi="ru-RU"/>
        </w:rPr>
        <w:t xml:space="preserve"> до сих пор </w:t>
      </w:r>
      <w:r w:rsidR="00212491" w:rsidRPr="00B67351">
        <w:rPr>
          <w:rFonts w:ascii="Times New Roman" w:hAnsi="Times New Roman" w:cs="Times New Roman"/>
          <w:color w:val="000000"/>
          <w:sz w:val="25"/>
          <w:szCs w:val="25"/>
          <w:lang w:eastAsia="ru-RU" w:bidi="ru-RU"/>
        </w:rPr>
        <w:t>не нашел отражения в законодательстве</w:t>
      </w:r>
      <w:r w:rsidR="00475846" w:rsidRPr="00B67351">
        <w:rPr>
          <w:rFonts w:ascii="Times New Roman" w:hAnsi="Times New Roman" w:cs="Times New Roman"/>
          <w:color w:val="000000"/>
          <w:sz w:val="25"/>
          <w:szCs w:val="25"/>
          <w:lang w:eastAsia="ru-RU" w:bidi="ru-RU"/>
        </w:rPr>
        <w:t>. Вместе с тем, сама категория «долговая устойчивость» упоминается в Государственной программе «Управление государственными финансами и регулирование финансовых рынков»,</w:t>
      </w:r>
      <w:r w:rsidR="00212491" w:rsidRPr="00B67351">
        <w:rPr>
          <w:rFonts w:ascii="Times New Roman" w:hAnsi="Times New Roman" w:cs="Times New Roman"/>
          <w:color w:val="000000"/>
          <w:sz w:val="25"/>
          <w:szCs w:val="25"/>
          <w:lang w:eastAsia="ru-RU" w:bidi="ru-RU"/>
        </w:rPr>
        <w:t xml:space="preserve"> </w:t>
      </w:r>
      <w:r w:rsidR="00475846" w:rsidRPr="00B67351">
        <w:rPr>
          <w:rFonts w:ascii="Times New Roman" w:hAnsi="Times New Roman" w:cs="Times New Roman"/>
          <w:color w:val="000000"/>
          <w:sz w:val="25"/>
          <w:szCs w:val="25"/>
          <w:lang w:eastAsia="ru-RU" w:bidi="ru-RU"/>
        </w:rPr>
        <w:t xml:space="preserve">Государственной программе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Проекте бюджетного прогноза Российской </w:t>
      </w:r>
      <w:r w:rsidR="00475846" w:rsidRPr="00B67351">
        <w:rPr>
          <w:rFonts w:ascii="Times New Roman" w:hAnsi="Times New Roman" w:cs="Times New Roman"/>
          <w:color w:val="000000"/>
          <w:sz w:val="25"/>
          <w:szCs w:val="25"/>
          <w:lang w:eastAsia="ru-RU" w:bidi="ru-RU"/>
        </w:rPr>
        <w:lastRenderedPageBreak/>
        <w:t>Федерации на период до 2030 года и пр. Кроме того, она используется Министерством финансов РФ при расчете показателей в рамках ежегодного анализа соблюдения субъектами РФ требований Бюджетного кодекса РФ.</w:t>
      </w:r>
    </w:p>
    <w:p w:rsidR="00475846" w:rsidRPr="00B67351" w:rsidRDefault="00475846" w:rsidP="00B67351">
      <w:pPr>
        <w:pStyle w:val="af0"/>
        <w:spacing w:line="360" w:lineRule="auto"/>
        <w:ind w:firstLine="709"/>
        <w:jc w:val="both"/>
        <w:rPr>
          <w:rFonts w:ascii="Times New Roman" w:hAnsi="Times New Roman" w:cs="Times New Roman"/>
          <w:color w:val="000000"/>
          <w:sz w:val="25"/>
          <w:szCs w:val="25"/>
          <w:lang w:eastAsia="ru-RU" w:bidi="ru-RU"/>
        </w:rPr>
      </w:pPr>
      <w:r w:rsidRPr="00B67351">
        <w:rPr>
          <w:rFonts w:ascii="Times New Roman" w:hAnsi="Times New Roman" w:cs="Times New Roman"/>
          <w:color w:val="000000"/>
          <w:sz w:val="25"/>
          <w:szCs w:val="25"/>
          <w:lang w:eastAsia="ru-RU" w:bidi="ru-RU"/>
        </w:rPr>
        <w:t>В научном сообществе оценка</w:t>
      </w:r>
      <w:r w:rsidR="00212491" w:rsidRPr="00B67351">
        <w:rPr>
          <w:rFonts w:ascii="Times New Roman" w:hAnsi="Times New Roman" w:cs="Times New Roman"/>
          <w:color w:val="000000"/>
          <w:sz w:val="25"/>
          <w:szCs w:val="25"/>
          <w:lang w:eastAsia="ru-RU" w:bidi="ru-RU"/>
        </w:rPr>
        <w:t xml:space="preserve"> долговой устойчивости регионов</w:t>
      </w:r>
      <w:r w:rsidR="00420943" w:rsidRPr="00B67351">
        <w:rPr>
          <w:rFonts w:ascii="Times New Roman" w:hAnsi="Times New Roman" w:cs="Times New Roman"/>
          <w:color w:val="000000"/>
          <w:sz w:val="25"/>
          <w:szCs w:val="25"/>
          <w:lang w:eastAsia="ru-RU" w:bidi="ru-RU"/>
        </w:rPr>
        <w:t>, в основном,</w:t>
      </w:r>
      <w:r w:rsidRPr="00B67351">
        <w:rPr>
          <w:rFonts w:ascii="Times New Roman" w:hAnsi="Times New Roman" w:cs="Times New Roman"/>
          <w:color w:val="000000"/>
          <w:sz w:val="25"/>
          <w:szCs w:val="25"/>
          <w:lang w:eastAsia="ru-RU" w:bidi="ru-RU"/>
        </w:rPr>
        <w:t xml:space="preserve"> сводится к расчету показателей, установленных требованиями БК РФ</w:t>
      </w:r>
      <w:r w:rsidR="00520B36">
        <w:rPr>
          <w:rFonts w:ascii="Times New Roman" w:hAnsi="Times New Roman" w:cs="Times New Roman"/>
          <w:color w:val="000000"/>
          <w:sz w:val="25"/>
          <w:szCs w:val="25"/>
          <w:lang w:eastAsia="ru-RU" w:bidi="ru-RU"/>
        </w:rPr>
        <w:t xml:space="preserve"> [1, 4, 6]</w:t>
      </w:r>
      <w:r w:rsidR="00420943" w:rsidRPr="00B67351">
        <w:rPr>
          <w:rFonts w:ascii="Times New Roman" w:hAnsi="Times New Roman" w:cs="Times New Roman"/>
          <w:color w:val="000000"/>
          <w:sz w:val="25"/>
          <w:szCs w:val="25"/>
          <w:lang w:eastAsia="ru-RU" w:bidi="ru-RU"/>
        </w:rPr>
        <w:t>.</w:t>
      </w:r>
      <w:r w:rsidR="00EE31E4" w:rsidRPr="00B67351">
        <w:rPr>
          <w:rFonts w:ascii="Times New Roman" w:hAnsi="Times New Roman" w:cs="Times New Roman"/>
          <w:color w:val="000000"/>
          <w:sz w:val="25"/>
          <w:szCs w:val="25"/>
          <w:lang w:eastAsia="ru-RU" w:bidi="ru-RU"/>
        </w:rPr>
        <w:t xml:space="preserve"> </w:t>
      </w:r>
      <w:r w:rsidR="00212491" w:rsidRPr="00B67351">
        <w:rPr>
          <w:rFonts w:ascii="Times New Roman" w:hAnsi="Times New Roman" w:cs="Times New Roman"/>
          <w:color w:val="000000"/>
          <w:sz w:val="25"/>
          <w:szCs w:val="25"/>
          <w:lang w:eastAsia="ru-RU" w:bidi="ru-RU"/>
        </w:rPr>
        <w:t>Вместе с тем</w:t>
      </w:r>
      <w:r w:rsidR="00EE31E4" w:rsidRPr="00B67351">
        <w:rPr>
          <w:rFonts w:ascii="Times New Roman" w:hAnsi="Times New Roman" w:cs="Times New Roman"/>
          <w:color w:val="000000"/>
          <w:sz w:val="25"/>
          <w:szCs w:val="25"/>
          <w:lang w:eastAsia="ru-RU" w:bidi="ru-RU"/>
        </w:rPr>
        <w:t>, набор показателей</w:t>
      </w:r>
      <w:r w:rsidR="00212491" w:rsidRPr="00B67351">
        <w:rPr>
          <w:rFonts w:ascii="Times New Roman" w:hAnsi="Times New Roman" w:cs="Times New Roman"/>
          <w:color w:val="000000"/>
          <w:sz w:val="25"/>
          <w:szCs w:val="25"/>
          <w:lang w:eastAsia="ru-RU" w:bidi="ru-RU"/>
        </w:rPr>
        <w:t xml:space="preserve"> </w:t>
      </w:r>
      <w:r w:rsidR="00EE31E4" w:rsidRPr="00B67351">
        <w:rPr>
          <w:rFonts w:ascii="Times New Roman" w:hAnsi="Times New Roman" w:cs="Times New Roman"/>
          <w:color w:val="000000"/>
          <w:sz w:val="25"/>
          <w:szCs w:val="25"/>
          <w:lang w:eastAsia="ru-RU" w:bidi="ru-RU"/>
        </w:rPr>
        <w:t>должен давать оценку:</w:t>
      </w:r>
    </w:p>
    <w:p w:rsidR="00EE31E4" w:rsidRPr="00B67351" w:rsidRDefault="00EE31E4" w:rsidP="00B67351">
      <w:pPr>
        <w:pStyle w:val="af0"/>
        <w:spacing w:line="360" w:lineRule="auto"/>
        <w:ind w:firstLine="709"/>
        <w:jc w:val="both"/>
        <w:rPr>
          <w:rStyle w:val="10pt0pt"/>
          <w:rFonts w:eastAsiaTheme="minorHAnsi"/>
          <w:sz w:val="25"/>
          <w:szCs w:val="25"/>
        </w:rPr>
      </w:pPr>
      <w:r w:rsidRPr="00B67351">
        <w:rPr>
          <w:rFonts w:ascii="Times New Roman" w:hAnsi="Times New Roman" w:cs="Times New Roman"/>
          <w:color w:val="000000"/>
          <w:sz w:val="25"/>
          <w:szCs w:val="25"/>
          <w:lang w:eastAsia="ru-RU" w:bidi="ru-RU"/>
        </w:rPr>
        <w:t xml:space="preserve">- </w:t>
      </w:r>
      <w:r w:rsidRPr="00B67351">
        <w:rPr>
          <w:rStyle w:val="10pt0pt"/>
          <w:rFonts w:eastAsiaTheme="minorHAnsi"/>
          <w:sz w:val="25"/>
          <w:szCs w:val="25"/>
        </w:rPr>
        <w:t>уровня платежеспособности субъекта Федерации;</w:t>
      </w:r>
    </w:p>
    <w:p w:rsidR="00EE31E4" w:rsidRPr="00B67351" w:rsidRDefault="00EE31E4" w:rsidP="00B67351">
      <w:pPr>
        <w:pStyle w:val="af0"/>
        <w:spacing w:line="360" w:lineRule="auto"/>
        <w:ind w:firstLine="709"/>
        <w:jc w:val="both"/>
        <w:rPr>
          <w:rStyle w:val="10pt0pt"/>
          <w:rFonts w:eastAsiaTheme="minorHAnsi"/>
          <w:sz w:val="25"/>
          <w:szCs w:val="25"/>
        </w:rPr>
      </w:pPr>
      <w:r w:rsidRPr="00B67351">
        <w:rPr>
          <w:rFonts w:ascii="Times New Roman" w:hAnsi="Times New Roman" w:cs="Times New Roman"/>
          <w:sz w:val="25"/>
          <w:szCs w:val="25"/>
        </w:rPr>
        <w:t xml:space="preserve">- </w:t>
      </w:r>
      <w:r w:rsidR="00212491" w:rsidRPr="00B67351">
        <w:rPr>
          <w:rStyle w:val="10pt0pt"/>
          <w:rFonts w:eastAsiaTheme="minorHAnsi"/>
          <w:sz w:val="25"/>
          <w:szCs w:val="25"/>
        </w:rPr>
        <w:t>влияния</w:t>
      </w:r>
      <w:r w:rsidRPr="00B67351">
        <w:rPr>
          <w:rStyle w:val="10pt0pt"/>
          <w:rFonts w:eastAsiaTheme="minorHAnsi"/>
          <w:sz w:val="25"/>
          <w:szCs w:val="25"/>
        </w:rPr>
        <w:t xml:space="preserve"> государственного долга на социально-экономическое развитие территории;</w:t>
      </w:r>
    </w:p>
    <w:p w:rsidR="00EE31E4" w:rsidRPr="00B67351" w:rsidRDefault="00EE31E4" w:rsidP="00B67351">
      <w:pPr>
        <w:pStyle w:val="af0"/>
        <w:spacing w:line="360" w:lineRule="auto"/>
        <w:ind w:firstLine="709"/>
        <w:jc w:val="both"/>
        <w:rPr>
          <w:rStyle w:val="10pt0pt"/>
          <w:rFonts w:eastAsiaTheme="minorHAnsi"/>
          <w:sz w:val="25"/>
          <w:szCs w:val="25"/>
        </w:rPr>
      </w:pPr>
      <w:r w:rsidRPr="00B67351">
        <w:rPr>
          <w:rStyle w:val="10pt0pt"/>
          <w:rFonts w:eastAsiaTheme="minorHAnsi"/>
          <w:sz w:val="25"/>
          <w:szCs w:val="25"/>
        </w:rPr>
        <w:t>- уровня риска неисполнения расходных обязательств в связи с погашением долга региона.</w:t>
      </w:r>
    </w:p>
    <w:p w:rsidR="008D0854" w:rsidRPr="00B67351" w:rsidRDefault="00507D8E" w:rsidP="00B67351">
      <w:pPr>
        <w:pStyle w:val="af0"/>
        <w:spacing w:line="360" w:lineRule="auto"/>
        <w:ind w:firstLine="709"/>
        <w:jc w:val="both"/>
        <w:rPr>
          <w:rStyle w:val="10pt0pt"/>
          <w:rFonts w:eastAsiaTheme="minorHAnsi"/>
          <w:sz w:val="25"/>
          <w:szCs w:val="25"/>
        </w:rPr>
      </w:pPr>
      <w:r w:rsidRPr="00B67351">
        <w:rPr>
          <w:rStyle w:val="10pt0pt"/>
          <w:rFonts w:eastAsiaTheme="minorHAnsi"/>
          <w:sz w:val="25"/>
          <w:szCs w:val="25"/>
        </w:rPr>
        <w:t xml:space="preserve">Исходя из этого, </w:t>
      </w:r>
      <w:r w:rsidR="00212491" w:rsidRPr="00B67351">
        <w:rPr>
          <w:rStyle w:val="10pt0pt"/>
          <w:rFonts w:eastAsiaTheme="minorHAnsi"/>
          <w:sz w:val="25"/>
          <w:szCs w:val="25"/>
        </w:rPr>
        <w:t>в качестве показателей</w:t>
      </w:r>
      <w:r w:rsidRPr="00B67351">
        <w:rPr>
          <w:rStyle w:val="10pt0pt"/>
          <w:rFonts w:eastAsiaTheme="minorHAnsi"/>
          <w:sz w:val="25"/>
          <w:szCs w:val="25"/>
        </w:rPr>
        <w:t xml:space="preserve"> оценки</w:t>
      </w:r>
      <w:r w:rsidR="00212491" w:rsidRPr="00B67351">
        <w:rPr>
          <w:rStyle w:val="10pt0pt"/>
          <w:rFonts w:eastAsiaTheme="minorHAnsi"/>
          <w:sz w:val="25"/>
          <w:szCs w:val="25"/>
        </w:rPr>
        <w:t xml:space="preserve"> долговой устойчивости регионов, по нашему мнению, могут выступить</w:t>
      </w:r>
      <w:r w:rsidR="00520B36">
        <w:rPr>
          <w:rStyle w:val="10pt0pt"/>
          <w:rFonts w:eastAsiaTheme="minorHAnsi"/>
          <w:sz w:val="25"/>
          <w:szCs w:val="25"/>
        </w:rPr>
        <w:t xml:space="preserve"> </w:t>
      </w:r>
      <w:r w:rsidR="00520B36">
        <w:rPr>
          <w:rFonts w:ascii="Times New Roman" w:hAnsi="Times New Roman" w:cs="Times New Roman"/>
          <w:color w:val="000000"/>
          <w:sz w:val="25"/>
          <w:szCs w:val="25"/>
          <w:lang w:eastAsia="ru-RU" w:bidi="ru-RU"/>
        </w:rPr>
        <w:t>[2]</w:t>
      </w:r>
      <w:r w:rsidRPr="00B67351">
        <w:rPr>
          <w:rStyle w:val="10pt0pt"/>
          <w:rFonts w:eastAsiaTheme="minorHAnsi"/>
          <w:sz w:val="25"/>
          <w:szCs w:val="25"/>
        </w:rPr>
        <w:t>:</w:t>
      </w:r>
    </w:p>
    <w:p w:rsidR="00507D8E" w:rsidRPr="00B67351" w:rsidRDefault="00507D8E" w:rsidP="00B67351">
      <w:pPr>
        <w:pStyle w:val="af0"/>
        <w:spacing w:line="360" w:lineRule="auto"/>
        <w:ind w:firstLine="709"/>
        <w:jc w:val="both"/>
        <w:rPr>
          <w:rStyle w:val="10pt0pt"/>
          <w:rFonts w:eastAsiaTheme="minorHAnsi"/>
          <w:sz w:val="25"/>
          <w:szCs w:val="25"/>
        </w:rPr>
      </w:pPr>
      <w:r w:rsidRPr="00B67351">
        <w:rPr>
          <w:rStyle w:val="10pt0pt"/>
          <w:rFonts w:eastAsiaTheme="minorHAnsi"/>
          <w:sz w:val="25"/>
          <w:szCs w:val="25"/>
        </w:rPr>
        <w:t>- отношение государственного  долга региона к собственным доходам бюджета;</w:t>
      </w:r>
    </w:p>
    <w:p w:rsidR="00507D8E" w:rsidRPr="00B67351" w:rsidRDefault="00507D8E" w:rsidP="00B67351">
      <w:pPr>
        <w:pStyle w:val="af0"/>
        <w:spacing w:line="360" w:lineRule="auto"/>
        <w:ind w:firstLine="709"/>
        <w:jc w:val="both"/>
        <w:rPr>
          <w:rStyle w:val="10pt0pt"/>
          <w:rFonts w:eastAsiaTheme="minorHAnsi"/>
          <w:sz w:val="25"/>
          <w:szCs w:val="25"/>
        </w:rPr>
      </w:pPr>
      <w:r w:rsidRPr="00B67351">
        <w:rPr>
          <w:rStyle w:val="10pt0pt"/>
          <w:rFonts w:eastAsiaTheme="minorHAnsi"/>
          <w:sz w:val="25"/>
          <w:szCs w:val="25"/>
        </w:rPr>
        <w:t>- доля расходов на обслуживание и погашение государственного долга в расходах бюджета региона за вычетом расходов, осуществляемых за счет субвенций;</w:t>
      </w:r>
    </w:p>
    <w:p w:rsidR="00507D8E" w:rsidRPr="00B67351" w:rsidRDefault="00507D8E" w:rsidP="00B67351">
      <w:pPr>
        <w:pStyle w:val="af0"/>
        <w:spacing w:line="360" w:lineRule="auto"/>
        <w:ind w:firstLine="709"/>
        <w:jc w:val="both"/>
        <w:rPr>
          <w:rStyle w:val="10pt0pt"/>
          <w:rFonts w:eastAsiaTheme="minorHAnsi"/>
          <w:sz w:val="25"/>
          <w:szCs w:val="25"/>
        </w:rPr>
      </w:pPr>
      <w:r w:rsidRPr="00B67351">
        <w:rPr>
          <w:rStyle w:val="10pt0pt"/>
          <w:rFonts w:eastAsiaTheme="minorHAnsi"/>
          <w:sz w:val="25"/>
          <w:szCs w:val="25"/>
        </w:rPr>
        <w:t>- отношение расходов на обслуживание и погашение государственного  долга к собственным доходам бюджета региона и сумме заимствований в текущем году.</w:t>
      </w:r>
    </w:p>
    <w:p w:rsidR="00EE31E4" w:rsidRPr="00B67351" w:rsidRDefault="00507D8E" w:rsidP="00B67351">
      <w:pPr>
        <w:pStyle w:val="af0"/>
        <w:spacing w:line="360" w:lineRule="auto"/>
        <w:ind w:firstLine="709"/>
        <w:jc w:val="both"/>
        <w:rPr>
          <w:rFonts w:ascii="Times New Roman" w:hAnsi="Times New Roman" w:cs="Times New Roman"/>
          <w:sz w:val="25"/>
          <w:szCs w:val="25"/>
        </w:rPr>
      </w:pPr>
      <w:r w:rsidRPr="00B67351">
        <w:rPr>
          <w:rFonts w:ascii="Times New Roman" w:hAnsi="Times New Roman" w:cs="Times New Roman"/>
          <w:sz w:val="25"/>
          <w:szCs w:val="25"/>
        </w:rPr>
        <w:t xml:space="preserve">Вместе с тем, </w:t>
      </w:r>
      <w:r w:rsidR="00212491" w:rsidRPr="00B67351">
        <w:rPr>
          <w:rFonts w:ascii="Times New Roman" w:hAnsi="Times New Roman" w:cs="Times New Roman"/>
          <w:sz w:val="25"/>
          <w:szCs w:val="25"/>
        </w:rPr>
        <w:t>острой</w:t>
      </w:r>
      <w:r w:rsidRPr="00B67351">
        <w:rPr>
          <w:rFonts w:ascii="Times New Roman" w:hAnsi="Times New Roman" w:cs="Times New Roman"/>
          <w:sz w:val="25"/>
          <w:szCs w:val="25"/>
        </w:rPr>
        <w:t xml:space="preserve"> проблемой является определение градации уровней долговой устойчивости в итоговой интерпретации. </w:t>
      </w:r>
      <w:r w:rsidR="00D705E1" w:rsidRPr="00B67351">
        <w:rPr>
          <w:rFonts w:ascii="Times New Roman" w:hAnsi="Times New Roman" w:cs="Times New Roman"/>
          <w:sz w:val="25"/>
          <w:szCs w:val="25"/>
        </w:rPr>
        <w:t>Если не брать во внимание экспертные методы определения границ интервалов значений, которые, не смотря на свою достаточную обоснованность, носят субъективный характер, д</w:t>
      </w:r>
      <w:r w:rsidRPr="00B67351">
        <w:rPr>
          <w:rFonts w:ascii="Times New Roman" w:hAnsi="Times New Roman" w:cs="Times New Roman"/>
          <w:sz w:val="25"/>
          <w:szCs w:val="25"/>
        </w:rPr>
        <w:t>анный вопрос</w:t>
      </w:r>
      <w:r w:rsidR="00D705E1" w:rsidRPr="00B67351">
        <w:rPr>
          <w:rFonts w:ascii="Times New Roman" w:hAnsi="Times New Roman" w:cs="Times New Roman"/>
          <w:sz w:val="25"/>
          <w:szCs w:val="25"/>
        </w:rPr>
        <w:t xml:space="preserve"> возможно</w:t>
      </w:r>
      <w:r w:rsidRPr="00B67351">
        <w:rPr>
          <w:rFonts w:ascii="Times New Roman" w:hAnsi="Times New Roman" w:cs="Times New Roman"/>
          <w:sz w:val="25"/>
          <w:szCs w:val="25"/>
        </w:rPr>
        <w:t xml:space="preserve"> реш</w:t>
      </w:r>
      <w:r w:rsidR="00D705E1" w:rsidRPr="00B67351">
        <w:rPr>
          <w:rFonts w:ascii="Times New Roman" w:hAnsi="Times New Roman" w:cs="Times New Roman"/>
          <w:sz w:val="25"/>
          <w:szCs w:val="25"/>
        </w:rPr>
        <w:t>ить</w:t>
      </w:r>
      <w:r w:rsidRPr="00B67351">
        <w:rPr>
          <w:rFonts w:ascii="Times New Roman" w:hAnsi="Times New Roman" w:cs="Times New Roman"/>
          <w:sz w:val="25"/>
          <w:szCs w:val="25"/>
        </w:rPr>
        <w:t xml:space="preserve"> с помощью методов многомерного анализа.</w:t>
      </w:r>
      <w:r w:rsidR="007C0559" w:rsidRPr="00B67351">
        <w:rPr>
          <w:rFonts w:ascii="Times New Roman" w:hAnsi="Times New Roman" w:cs="Times New Roman"/>
          <w:sz w:val="25"/>
          <w:szCs w:val="25"/>
        </w:rPr>
        <w:t xml:space="preserve"> Одним из наиболее часто используемых является кластерный анализ, позволяющий определять оптимальное количество групп разбиения и упоряд</w:t>
      </w:r>
      <w:r w:rsidR="00D705E1" w:rsidRPr="00B67351">
        <w:rPr>
          <w:rFonts w:ascii="Times New Roman" w:hAnsi="Times New Roman" w:cs="Times New Roman"/>
          <w:sz w:val="25"/>
          <w:szCs w:val="25"/>
        </w:rPr>
        <w:t>очивать объекты по этим группам путем отбора выборки для кластеризации, определения множества переменных, по которым осуществляется разбиение объектов наблюдения по группам, а также проверка достоверности результатов анализа.</w:t>
      </w:r>
    </w:p>
    <w:p w:rsidR="00D705E1" w:rsidRPr="00B67351" w:rsidRDefault="00D705E1" w:rsidP="00B67351">
      <w:pPr>
        <w:pStyle w:val="af0"/>
        <w:spacing w:line="360" w:lineRule="auto"/>
        <w:ind w:firstLine="709"/>
        <w:jc w:val="both"/>
        <w:rPr>
          <w:rFonts w:ascii="Times New Roman" w:hAnsi="Times New Roman" w:cs="Times New Roman"/>
          <w:sz w:val="25"/>
          <w:szCs w:val="25"/>
        </w:rPr>
      </w:pPr>
      <w:r w:rsidRPr="00B67351">
        <w:rPr>
          <w:rFonts w:ascii="Times New Roman" w:hAnsi="Times New Roman" w:cs="Times New Roman"/>
          <w:sz w:val="25"/>
          <w:szCs w:val="25"/>
        </w:rPr>
        <w:t>Объектами анализа в нашем случае выступают все регионы РФ. Статистической базой послужили данные Министерства финансов РФ и Федерального казначейства по показателям, которые мы выше обозначили.</w:t>
      </w:r>
    </w:p>
    <w:p w:rsidR="00D705E1" w:rsidRPr="00B67351" w:rsidRDefault="00D705E1" w:rsidP="00B67351">
      <w:pPr>
        <w:pStyle w:val="af0"/>
        <w:spacing w:line="360" w:lineRule="auto"/>
        <w:ind w:firstLine="709"/>
        <w:jc w:val="both"/>
        <w:rPr>
          <w:rFonts w:ascii="Times New Roman" w:hAnsi="Times New Roman" w:cs="Times New Roman"/>
          <w:sz w:val="25"/>
          <w:szCs w:val="25"/>
        </w:rPr>
      </w:pPr>
      <w:r w:rsidRPr="00B67351">
        <w:rPr>
          <w:rFonts w:ascii="Times New Roman" w:hAnsi="Times New Roman" w:cs="Times New Roman"/>
          <w:sz w:val="25"/>
          <w:szCs w:val="25"/>
        </w:rPr>
        <w:t xml:space="preserve">Первым этапом анализа является построение </w:t>
      </w:r>
      <w:proofErr w:type="spellStart"/>
      <w:r w:rsidRPr="00B67351">
        <w:rPr>
          <w:rFonts w:ascii="Times New Roman" w:hAnsi="Times New Roman" w:cs="Times New Roman"/>
          <w:sz w:val="25"/>
          <w:szCs w:val="25"/>
        </w:rPr>
        <w:t>дендрограмм</w:t>
      </w:r>
      <w:r w:rsidR="00CD6A4C" w:rsidRPr="00B67351">
        <w:rPr>
          <w:rFonts w:ascii="Times New Roman" w:hAnsi="Times New Roman" w:cs="Times New Roman"/>
          <w:sz w:val="25"/>
          <w:szCs w:val="25"/>
        </w:rPr>
        <w:t>ы</w:t>
      </w:r>
      <w:proofErr w:type="spellEnd"/>
      <w:r w:rsidR="00CD6A4C" w:rsidRPr="00B67351">
        <w:rPr>
          <w:rFonts w:ascii="Times New Roman" w:hAnsi="Times New Roman" w:cs="Times New Roman"/>
          <w:sz w:val="25"/>
          <w:szCs w:val="25"/>
        </w:rPr>
        <w:t xml:space="preserve"> кластерного анализа. На рисунке 1 видно, что количество кластеров в нашем случае может быть от 2 до 6.</w:t>
      </w:r>
    </w:p>
    <w:p w:rsidR="00A61E21" w:rsidRPr="00B67351" w:rsidRDefault="00A61E21" w:rsidP="00B67351">
      <w:pPr>
        <w:pStyle w:val="2"/>
        <w:shd w:val="clear" w:color="auto" w:fill="auto"/>
        <w:spacing w:after="0" w:line="360" w:lineRule="auto"/>
        <w:ind w:firstLine="709"/>
        <w:jc w:val="both"/>
        <w:rPr>
          <w:sz w:val="25"/>
          <w:szCs w:val="25"/>
        </w:rPr>
      </w:pPr>
      <w:r w:rsidRPr="00B67351">
        <w:rPr>
          <w:sz w:val="25"/>
          <w:szCs w:val="25"/>
        </w:rPr>
        <w:t xml:space="preserve">Для определения оптимального количества кластеров используется расчет </w:t>
      </w:r>
      <w:r w:rsidRPr="00B67351">
        <w:rPr>
          <w:sz w:val="25"/>
          <w:szCs w:val="25"/>
        </w:rPr>
        <w:lastRenderedPageBreak/>
        <w:t xml:space="preserve">величины критерия </w:t>
      </w:r>
      <w:proofErr w:type="spellStart"/>
      <w:r w:rsidRPr="00B67351">
        <w:rPr>
          <w:rFonts w:eastAsia="MS Mincho"/>
          <w:sz w:val="25"/>
          <w:szCs w:val="25"/>
          <w:lang w:eastAsia="ru-RU"/>
        </w:rPr>
        <w:t>Calinski</w:t>
      </w:r>
      <w:proofErr w:type="spellEnd"/>
      <w:r w:rsidRPr="00B67351">
        <w:rPr>
          <w:rFonts w:eastAsia="MS Mincho"/>
          <w:sz w:val="25"/>
          <w:szCs w:val="25"/>
          <w:lang w:eastAsia="ru-RU"/>
        </w:rPr>
        <w:t>–</w:t>
      </w:r>
      <w:proofErr w:type="spellStart"/>
      <w:r w:rsidRPr="00B67351">
        <w:rPr>
          <w:rFonts w:eastAsia="MS Mincho"/>
          <w:sz w:val="25"/>
          <w:szCs w:val="25"/>
          <w:lang w:eastAsia="ru-RU"/>
        </w:rPr>
        <w:t>Harabaszpseudo</w:t>
      </w:r>
      <w:proofErr w:type="spellEnd"/>
      <w:r w:rsidRPr="00B67351">
        <w:rPr>
          <w:rFonts w:eastAsia="MS Mincho"/>
          <w:sz w:val="25"/>
          <w:szCs w:val="25"/>
          <w:lang w:eastAsia="ru-RU"/>
        </w:rPr>
        <w:t xml:space="preserve">-F и выбирается то число кластеров, при котором данный критерий максимален. В нашем случае мы проверили критерий </w:t>
      </w:r>
      <w:proofErr w:type="spellStart"/>
      <w:r w:rsidRPr="00B67351">
        <w:rPr>
          <w:rFonts w:eastAsia="MS Mincho"/>
          <w:sz w:val="25"/>
          <w:szCs w:val="25"/>
          <w:lang w:eastAsia="ru-RU"/>
        </w:rPr>
        <w:t>Calinski</w:t>
      </w:r>
      <w:proofErr w:type="spellEnd"/>
      <w:r w:rsidRPr="00B67351">
        <w:rPr>
          <w:rFonts w:eastAsia="MS Mincho"/>
          <w:sz w:val="25"/>
          <w:szCs w:val="25"/>
          <w:lang w:eastAsia="ru-RU"/>
        </w:rPr>
        <w:t>–</w:t>
      </w:r>
      <w:proofErr w:type="spellStart"/>
      <w:r w:rsidRPr="00B67351">
        <w:rPr>
          <w:rFonts w:eastAsia="MS Mincho"/>
          <w:sz w:val="25"/>
          <w:szCs w:val="25"/>
          <w:lang w:eastAsia="ru-RU"/>
        </w:rPr>
        <w:t>Harabaszpseudo</w:t>
      </w:r>
      <w:proofErr w:type="spellEnd"/>
      <w:r w:rsidRPr="00B67351">
        <w:rPr>
          <w:rFonts w:eastAsia="MS Mincho"/>
          <w:sz w:val="25"/>
          <w:szCs w:val="25"/>
          <w:lang w:eastAsia="ru-RU"/>
        </w:rPr>
        <w:t xml:space="preserve">-F при разбиении на 4, 5 и 6 кластеров. В результате расчета (табл. 1) видно, что максимальное значение было получено при количестве кластеров равном 5. Менее 4 кластеров не рассматривали, т.к. уже при 4 кластерах величина критерия </w:t>
      </w:r>
      <w:proofErr w:type="spellStart"/>
      <w:r w:rsidRPr="00B67351">
        <w:rPr>
          <w:rFonts w:eastAsia="MS Mincho"/>
          <w:sz w:val="25"/>
          <w:szCs w:val="25"/>
          <w:lang w:eastAsia="ru-RU"/>
        </w:rPr>
        <w:t>Calinski</w:t>
      </w:r>
      <w:proofErr w:type="spellEnd"/>
      <w:r w:rsidRPr="00B67351">
        <w:rPr>
          <w:rFonts w:eastAsia="MS Mincho"/>
          <w:sz w:val="25"/>
          <w:szCs w:val="25"/>
          <w:lang w:eastAsia="ru-RU"/>
        </w:rPr>
        <w:t>–</w:t>
      </w:r>
      <w:proofErr w:type="spellStart"/>
      <w:r w:rsidRPr="00B67351">
        <w:rPr>
          <w:rFonts w:eastAsia="MS Mincho"/>
          <w:sz w:val="25"/>
          <w:szCs w:val="25"/>
          <w:lang w:eastAsia="ru-RU"/>
        </w:rPr>
        <w:t>Harabaszpseudo</w:t>
      </w:r>
      <w:proofErr w:type="spellEnd"/>
      <w:r w:rsidRPr="00B67351">
        <w:rPr>
          <w:rFonts w:eastAsia="MS Mincho"/>
          <w:sz w:val="25"/>
          <w:szCs w:val="25"/>
          <w:lang w:eastAsia="ru-RU"/>
        </w:rPr>
        <w:t>-F снижается.</w:t>
      </w:r>
    </w:p>
    <w:p w:rsidR="004000F7" w:rsidRDefault="004000F7" w:rsidP="004000F7">
      <w:pPr>
        <w:pStyle w:val="2"/>
        <w:shd w:val="clear" w:color="auto" w:fill="auto"/>
        <w:spacing w:after="0" w:line="360" w:lineRule="auto"/>
        <w:jc w:val="both"/>
        <w:rPr>
          <w:sz w:val="28"/>
          <w:szCs w:val="28"/>
        </w:rPr>
      </w:pPr>
      <w:r>
        <w:rPr>
          <w:noProof/>
          <w:sz w:val="28"/>
          <w:szCs w:val="28"/>
          <w:lang w:eastAsia="ru-RU"/>
        </w:rPr>
        <w:drawing>
          <wp:inline distT="0" distB="0" distL="0" distR="0" wp14:anchorId="66F2B615" wp14:editId="084043E9">
            <wp:extent cx="6105525" cy="354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5525" cy="3543300"/>
                    </a:xfrm>
                    <a:prstGeom prst="rect">
                      <a:avLst/>
                    </a:prstGeom>
                    <a:noFill/>
                    <a:ln>
                      <a:noFill/>
                    </a:ln>
                  </pic:spPr>
                </pic:pic>
              </a:graphicData>
            </a:graphic>
          </wp:inline>
        </w:drawing>
      </w:r>
    </w:p>
    <w:p w:rsidR="004000F7" w:rsidRPr="003B4345" w:rsidRDefault="00372236" w:rsidP="003B4345">
      <w:pPr>
        <w:pStyle w:val="2"/>
        <w:shd w:val="clear" w:color="auto" w:fill="auto"/>
        <w:spacing w:after="0" w:line="240" w:lineRule="auto"/>
        <w:rPr>
          <w:sz w:val="24"/>
          <w:szCs w:val="28"/>
        </w:rPr>
      </w:pPr>
      <w:r>
        <w:rPr>
          <w:sz w:val="24"/>
          <w:szCs w:val="28"/>
        </w:rPr>
        <w:t>Рисунок 1 -</w:t>
      </w:r>
      <w:r w:rsidR="004000F7" w:rsidRPr="003B4345">
        <w:rPr>
          <w:sz w:val="24"/>
          <w:szCs w:val="28"/>
        </w:rPr>
        <w:t xml:space="preserve"> </w:t>
      </w:r>
      <w:proofErr w:type="spellStart"/>
      <w:r w:rsidR="004000F7" w:rsidRPr="003B4345">
        <w:rPr>
          <w:sz w:val="24"/>
          <w:szCs w:val="28"/>
        </w:rPr>
        <w:t>Дендрограмма</w:t>
      </w:r>
      <w:proofErr w:type="spellEnd"/>
      <w:r w:rsidR="004000F7" w:rsidRPr="003B4345">
        <w:rPr>
          <w:sz w:val="24"/>
          <w:szCs w:val="28"/>
        </w:rPr>
        <w:t xml:space="preserve"> кластерного анализа долговой устойчивости регионов РФ в 2016 году</w:t>
      </w:r>
    </w:p>
    <w:p w:rsidR="00CD6A4C" w:rsidRDefault="00CD6A4C" w:rsidP="004000F7">
      <w:pPr>
        <w:pStyle w:val="2"/>
        <w:shd w:val="clear" w:color="auto" w:fill="auto"/>
        <w:spacing w:after="0" w:line="360" w:lineRule="auto"/>
        <w:rPr>
          <w:sz w:val="28"/>
          <w:szCs w:val="28"/>
        </w:rPr>
      </w:pPr>
    </w:p>
    <w:p w:rsidR="004000F7" w:rsidRPr="003B4345" w:rsidRDefault="004000F7" w:rsidP="00372236">
      <w:pPr>
        <w:pStyle w:val="2"/>
        <w:shd w:val="clear" w:color="auto" w:fill="auto"/>
        <w:spacing w:after="0" w:line="240" w:lineRule="auto"/>
        <w:rPr>
          <w:sz w:val="24"/>
          <w:szCs w:val="28"/>
        </w:rPr>
      </w:pPr>
      <w:r w:rsidRPr="003B4345">
        <w:rPr>
          <w:sz w:val="24"/>
          <w:szCs w:val="28"/>
        </w:rPr>
        <w:t>Таблица</w:t>
      </w:r>
      <w:r w:rsidR="00372236">
        <w:rPr>
          <w:sz w:val="24"/>
          <w:szCs w:val="28"/>
        </w:rPr>
        <w:t xml:space="preserve"> 1 -</w:t>
      </w:r>
      <w:r w:rsidRPr="003B4345">
        <w:rPr>
          <w:sz w:val="24"/>
          <w:szCs w:val="28"/>
        </w:rPr>
        <w:t xml:space="preserve"> Определение оптимального количества кластеров.</w:t>
      </w:r>
    </w:p>
    <w:tbl>
      <w:tblPr>
        <w:tblStyle w:val="af4"/>
        <w:tblW w:w="0" w:type="auto"/>
        <w:tblLook w:val="04A0" w:firstRow="1" w:lastRow="0" w:firstColumn="1" w:lastColumn="0" w:noHBand="0" w:noVBand="1"/>
      </w:tblPr>
      <w:tblGrid>
        <w:gridCol w:w="4785"/>
        <w:gridCol w:w="4785"/>
      </w:tblGrid>
      <w:tr w:rsidR="004000F7" w:rsidRPr="00372236" w:rsidTr="00F022DA">
        <w:tc>
          <w:tcPr>
            <w:tcW w:w="4785" w:type="dxa"/>
          </w:tcPr>
          <w:p w:rsidR="004000F7" w:rsidRPr="00372236" w:rsidRDefault="004000F7" w:rsidP="003B4345">
            <w:pPr>
              <w:pStyle w:val="2"/>
              <w:shd w:val="clear" w:color="auto" w:fill="auto"/>
              <w:spacing w:after="0" w:line="240" w:lineRule="auto"/>
              <w:rPr>
                <w:rFonts w:ascii="Arial" w:hAnsi="Arial" w:cs="Arial"/>
                <w:sz w:val="18"/>
                <w:szCs w:val="18"/>
              </w:rPr>
            </w:pPr>
            <w:r w:rsidRPr="00372236">
              <w:rPr>
                <w:rFonts w:ascii="Arial" w:hAnsi="Arial" w:cs="Arial"/>
                <w:sz w:val="18"/>
                <w:szCs w:val="18"/>
              </w:rPr>
              <w:t>Количество кластеров</w:t>
            </w:r>
          </w:p>
        </w:tc>
        <w:tc>
          <w:tcPr>
            <w:tcW w:w="4785" w:type="dxa"/>
          </w:tcPr>
          <w:p w:rsidR="004000F7" w:rsidRPr="00372236" w:rsidRDefault="004000F7" w:rsidP="003B4345">
            <w:pPr>
              <w:pStyle w:val="2"/>
              <w:shd w:val="clear" w:color="auto" w:fill="auto"/>
              <w:spacing w:after="0" w:line="240" w:lineRule="auto"/>
              <w:rPr>
                <w:rFonts w:ascii="Arial" w:hAnsi="Arial" w:cs="Arial"/>
                <w:sz w:val="18"/>
                <w:szCs w:val="18"/>
              </w:rPr>
            </w:pPr>
            <w:r w:rsidRPr="00372236">
              <w:rPr>
                <w:rFonts w:ascii="Arial" w:hAnsi="Arial" w:cs="Arial"/>
                <w:sz w:val="18"/>
                <w:szCs w:val="18"/>
              </w:rPr>
              <w:t xml:space="preserve">Величина </w:t>
            </w:r>
            <w:r w:rsidRPr="00372236">
              <w:rPr>
                <w:rFonts w:ascii="Arial" w:eastAsia="MS Mincho" w:hAnsi="Arial" w:cs="Arial"/>
                <w:sz w:val="18"/>
                <w:szCs w:val="18"/>
                <w:lang w:eastAsia="ru-RU"/>
              </w:rPr>
              <w:t xml:space="preserve">критерия </w:t>
            </w:r>
            <w:proofErr w:type="spellStart"/>
            <w:r w:rsidRPr="00372236">
              <w:rPr>
                <w:rFonts w:ascii="Arial" w:eastAsia="MS Mincho" w:hAnsi="Arial" w:cs="Arial"/>
                <w:sz w:val="18"/>
                <w:szCs w:val="18"/>
                <w:lang w:eastAsia="ru-RU"/>
              </w:rPr>
              <w:t>Calinski</w:t>
            </w:r>
            <w:proofErr w:type="spellEnd"/>
            <w:r w:rsidRPr="00372236">
              <w:rPr>
                <w:rFonts w:ascii="Arial" w:eastAsia="MS Mincho" w:hAnsi="Arial" w:cs="Arial"/>
                <w:sz w:val="18"/>
                <w:szCs w:val="18"/>
                <w:lang w:eastAsia="ru-RU"/>
              </w:rPr>
              <w:t>–</w:t>
            </w:r>
            <w:proofErr w:type="spellStart"/>
            <w:r w:rsidRPr="00372236">
              <w:rPr>
                <w:rFonts w:ascii="Arial" w:eastAsia="MS Mincho" w:hAnsi="Arial" w:cs="Arial"/>
                <w:sz w:val="18"/>
                <w:szCs w:val="18"/>
                <w:lang w:eastAsia="ru-RU"/>
              </w:rPr>
              <w:t>Harabaszpseudo</w:t>
            </w:r>
            <w:proofErr w:type="spellEnd"/>
            <w:r w:rsidRPr="00372236">
              <w:rPr>
                <w:rFonts w:ascii="Arial" w:eastAsia="MS Mincho" w:hAnsi="Arial" w:cs="Arial"/>
                <w:sz w:val="18"/>
                <w:szCs w:val="18"/>
                <w:lang w:eastAsia="ru-RU"/>
              </w:rPr>
              <w:t>-F</w:t>
            </w:r>
          </w:p>
        </w:tc>
      </w:tr>
      <w:tr w:rsidR="004000F7" w:rsidRPr="00372236" w:rsidTr="00F022DA">
        <w:tc>
          <w:tcPr>
            <w:tcW w:w="4785"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4</w:t>
            </w:r>
          </w:p>
        </w:tc>
        <w:tc>
          <w:tcPr>
            <w:tcW w:w="4785" w:type="dxa"/>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266,67</w:t>
            </w:r>
          </w:p>
        </w:tc>
      </w:tr>
      <w:tr w:rsidR="004000F7" w:rsidRPr="00372236" w:rsidTr="00F022DA">
        <w:tc>
          <w:tcPr>
            <w:tcW w:w="4785"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5</w:t>
            </w:r>
          </w:p>
        </w:tc>
        <w:tc>
          <w:tcPr>
            <w:tcW w:w="4785" w:type="dxa"/>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307,77</w:t>
            </w:r>
          </w:p>
        </w:tc>
      </w:tr>
      <w:tr w:rsidR="004000F7" w:rsidRPr="00372236" w:rsidTr="00F022DA">
        <w:tc>
          <w:tcPr>
            <w:tcW w:w="4785"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6</w:t>
            </w:r>
          </w:p>
        </w:tc>
        <w:tc>
          <w:tcPr>
            <w:tcW w:w="4785" w:type="dxa"/>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270,58</w:t>
            </w:r>
          </w:p>
        </w:tc>
      </w:tr>
    </w:tbl>
    <w:p w:rsidR="00CD6A4C" w:rsidRDefault="00CD6A4C" w:rsidP="004000F7">
      <w:pPr>
        <w:pStyle w:val="2"/>
        <w:shd w:val="clear" w:color="auto" w:fill="auto"/>
        <w:spacing w:after="0" w:line="360" w:lineRule="auto"/>
        <w:jc w:val="both"/>
        <w:rPr>
          <w:sz w:val="28"/>
          <w:szCs w:val="28"/>
        </w:rPr>
      </w:pPr>
    </w:p>
    <w:p w:rsidR="00CD6A4C" w:rsidRPr="00B67351" w:rsidRDefault="000B120E" w:rsidP="00B67351">
      <w:pPr>
        <w:pStyle w:val="2"/>
        <w:shd w:val="clear" w:color="auto" w:fill="auto"/>
        <w:spacing w:after="0" w:line="360" w:lineRule="auto"/>
        <w:ind w:firstLine="709"/>
        <w:jc w:val="both"/>
        <w:rPr>
          <w:sz w:val="25"/>
          <w:szCs w:val="25"/>
        </w:rPr>
      </w:pPr>
      <w:r w:rsidRPr="00B67351">
        <w:rPr>
          <w:sz w:val="25"/>
          <w:szCs w:val="25"/>
        </w:rPr>
        <w:t xml:space="preserve">Далее с помощью метода </w:t>
      </w:r>
      <w:r w:rsidRPr="00B67351">
        <w:rPr>
          <w:sz w:val="25"/>
          <w:szCs w:val="25"/>
          <w:lang w:val="en-US"/>
        </w:rPr>
        <w:t>k</w:t>
      </w:r>
      <w:r w:rsidR="00A61E21" w:rsidRPr="00B67351">
        <w:rPr>
          <w:sz w:val="25"/>
          <w:szCs w:val="25"/>
        </w:rPr>
        <w:t>-</w:t>
      </w:r>
      <w:r w:rsidRPr="00B67351">
        <w:rPr>
          <w:sz w:val="25"/>
          <w:szCs w:val="25"/>
        </w:rPr>
        <w:t>средних был произведен расчет средних значений показателей по кластерам и да</w:t>
      </w:r>
      <w:r w:rsidR="00862AFA" w:rsidRPr="00B67351">
        <w:rPr>
          <w:sz w:val="25"/>
          <w:szCs w:val="25"/>
        </w:rPr>
        <w:t>на</w:t>
      </w:r>
      <w:r w:rsidRPr="00B67351">
        <w:rPr>
          <w:sz w:val="25"/>
          <w:szCs w:val="25"/>
        </w:rPr>
        <w:t xml:space="preserve"> характеристику </w:t>
      </w:r>
      <w:r w:rsidR="00862AFA" w:rsidRPr="00B67351">
        <w:rPr>
          <w:sz w:val="25"/>
          <w:szCs w:val="25"/>
        </w:rPr>
        <w:t>каждого из них (табл. 2).</w:t>
      </w:r>
    </w:p>
    <w:p w:rsidR="004000F7" w:rsidRPr="000B120E" w:rsidRDefault="004000F7" w:rsidP="00372236">
      <w:pPr>
        <w:pStyle w:val="2"/>
        <w:shd w:val="clear" w:color="auto" w:fill="auto"/>
        <w:spacing w:after="0" w:line="240" w:lineRule="auto"/>
        <w:rPr>
          <w:sz w:val="24"/>
          <w:szCs w:val="28"/>
        </w:rPr>
      </w:pPr>
      <w:r w:rsidRPr="000B120E">
        <w:rPr>
          <w:sz w:val="24"/>
          <w:szCs w:val="28"/>
        </w:rPr>
        <w:t>Таблица</w:t>
      </w:r>
      <w:r w:rsidR="00372236">
        <w:rPr>
          <w:sz w:val="24"/>
          <w:szCs w:val="28"/>
        </w:rPr>
        <w:t xml:space="preserve"> 2 -</w:t>
      </w:r>
      <w:r w:rsidRPr="000B120E">
        <w:rPr>
          <w:sz w:val="24"/>
          <w:szCs w:val="28"/>
        </w:rPr>
        <w:t xml:space="preserve"> Расчетные средние значения по кластерам.</w:t>
      </w:r>
    </w:p>
    <w:tbl>
      <w:tblPr>
        <w:tblStyle w:val="af4"/>
        <w:tblW w:w="0" w:type="auto"/>
        <w:tblLook w:val="04A0" w:firstRow="1" w:lastRow="0" w:firstColumn="1" w:lastColumn="0" w:noHBand="0" w:noVBand="1"/>
      </w:tblPr>
      <w:tblGrid>
        <w:gridCol w:w="1089"/>
        <w:gridCol w:w="2036"/>
        <w:gridCol w:w="2391"/>
        <w:gridCol w:w="2377"/>
        <w:gridCol w:w="1711"/>
      </w:tblGrid>
      <w:tr w:rsidR="004000F7" w:rsidRPr="00372236" w:rsidTr="000B120E">
        <w:tc>
          <w:tcPr>
            <w:tcW w:w="1089" w:type="dxa"/>
            <w:vMerge w:val="restart"/>
            <w:vAlign w:val="center"/>
          </w:tcPr>
          <w:p w:rsidR="004000F7" w:rsidRPr="00372236" w:rsidRDefault="004000F7" w:rsidP="00F022DA">
            <w:pPr>
              <w:pStyle w:val="2"/>
              <w:spacing w:after="0" w:line="240" w:lineRule="auto"/>
              <w:rPr>
                <w:rFonts w:ascii="Arial" w:hAnsi="Arial" w:cs="Arial"/>
                <w:sz w:val="18"/>
                <w:szCs w:val="18"/>
              </w:rPr>
            </w:pPr>
            <w:r w:rsidRPr="00372236">
              <w:rPr>
                <w:rFonts w:ascii="Arial" w:hAnsi="Arial" w:cs="Arial"/>
                <w:sz w:val="18"/>
                <w:szCs w:val="18"/>
              </w:rPr>
              <w:t>Номер кластера</w:t>
            </w:r>
          </w:p>
        </w:tc>
        <w:tc>
          <w:tcPr>
            <w:tcW w:w="6804" w:type="dxa"/>
            <w:gridSpan w:val="3"/>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Показатели</w:t>
            </w:r>
          </w:p>
        </w:tc>
        <w:tc>
          <w:tcPr>
            <w:tcW w:w="1711" w:type="dxa"/>
            <w:vMerge w:val="restart"/>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Характеристика</w:t>
            </w:r>
          </w:p>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кластера</w:t>
            </w:r>
          </w:p>
        </w:tc>
      </w:tr>
      <w:tr w:rsidR="004000F7" w:rsidRPr="00372236" w:rsidTr="000B120E">
        <w:tc>
          <w:tcPr>
            <w:tcW w:w="1089" w:type="dxa"/>
            <w:vMerge/>
          </w:tcPr>
          <w:p w:rsidR="004000F7" w:rsidRPr="00372236" w:rsidRDefault="004000F7" w:rsidP="00F022DA">
            <w:pPr>
              <w:pStyle w:val="2"/>
              <w:shd w:val="clear" w:color="auto" w:fill="auto"/>
              <w:spacing w:after="0" w:line="240" w:lineRule="auto"/>
              <w:jc w:val="both"/>
              <w:rPr>
                <w:rFonts w:ascii="Arial" w:hAnsi="Arial" w:cs="Arial"/>
                <w:sz w:val="18"/>
                <w:szCs w:val="18"/>
              </w:rPr>
            </w:pPr>
          </w:p>
        </w:tc>
        <w:tc>
          <w:tcPr>
            <w:tcW w:w="203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Отношение государственного долга региона к собственным доходам бюджета</w:t>
            </w:r>
          </w:p>
        </w:tc>
        <w:tc>
          <w:tcPr>
            <w:tcW w:w="2391"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Доля расходов на обслуживание и погашение государственного долга в расходах бюджета региона за вычетом расходов, осуществляемых за счет субвенций</w:t>
            </w:r>
          </w:p>
        </w:tc>
        <w:tc>
          <w:tcPr>
            <w:tcW w:w="2377"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Отношение расходов на обслуживание и погашение государственного долга к собственным доходам бюджета региона и сумме заимствований в текущем году</w:t>
            </w:r>
          </w:p>
        </w:tc>
        <w:tc>
          <w:tcPr>
            <w:tcW w:w="1711" w:type="dxa"/>
            <w:vMerge/>
          </w:tcPr>
          <w:p w:rsidR="004000F7" w:rsidRPr="00372236" w:rsidRDefault="004000F7" w:rsidP="00F022DA">
            <w:pPr>
              <w:pStyle w:val="2"/>
              <w:shd w:val="clear" w:color="auto" w:fill="auto"/>
              <w:spacing w:after="0" w:line="240" w:lineRule="auto"/>
              <w:jc w:val="both"/>
              <w:rPr>
                <w:rFonts w:ascii="Arial" w:hAnsi="Arial" w:cs="Arial"/>
                <w:sz w:val="18"/>
                <w:szCs w:val="18"/>
              </w:rPr>
            </w:pPr>
          </w:p>
        </w:tc>
      </w:tr>
      <w:tr w:rsidR="004000F7" w:rsidRPr="00372236" w:rsidTr="000B120E">
        <w:tc>
          <w:tcPr>
            <w:tcW w:w="1089"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1</w:t>
            </w:r>
          </w:p>
        </w:tc>
        <w:tc>
          <w:tcPr>
            <w:tcW w:w="2036"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9,366418</w:t>
            </w:r>
          </w:p>
        </w:tc>
        <w:tc>
          <w:tcPr>
            <w:tcW w:w="2391"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0,2874868</w:t>
            </w:r>
          </w:p>
        </w:tc>
        <w:tc>
          <w:tcPr>
            <w:tcW w:w="2377"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0,3525564</w:t>
            </w:r>
          </w:p>
        </w:tc>
        <w:tc>
          <w:tcPr>
            <w:tcW w:w="1711"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 xml:space="preserve">Высокая </w:t>
            </w:r>
            <w:r w:rsidRPr="00372236">
              <w:rPr>
                <w:rFonts w:ascii="Arial" w:hAnsi="Arial" w:cs="Arial"/>
                <w:sz w:val="18"/>
                <w:szCs w:val="18"/>
              </w:rPr>
              <w:lastRenderedPageBreak/>
              <w:t>долговая устойчивость</w:t>
            </w:r>
          </w:p>
        </w:tc>
      </w:tr>
      <w:tr w:rsidR="004000F7" w:rsidRPr="00372236" w:rsidTr="000B120E">
        <w:tc>
          <w:tcPr>
            <w:tcW w:w="1089"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lastRenderedPageBreak/>
              <w:t>2</w:t>
            </w:r>
          </w:p>
        </w:tc>
        <w:tc>
          <w:tcPr>
            <w:tcW w:w="2036"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37,79958</w:t>
            </w:r>
          </w:p>
        </w:tc>
        <w:tc>
          <w:tcPr>
            <w:tcW w:w="2391"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1,5512</w:t>
            </w:r>
          </w:p>
        </w:tc>
        <w:tc>
          <w:tcPr>
            <w:tcW w:w="2377"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1,933785</w:t>
            </w:r>
          </w:p>
        </w:tc>
        <w:tc>
          <w:tcPr>
            <w:tcW w:w="1711"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Выше средней</w:t>
            </w:r>
          </w:p>
        </w:tc>
      </w:tr>
      <w:tr w:rsidR="004000F7" w:rsidRPr="00372236" w:rsidTr="000B120E">
        <w:tc>
          <w:tcPr>
            <w:tcW w:w="1089"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3</w:t>
            </w:r>
          </w:p>
        </w:tc>
        <w:tc>
          <w:tcPr>
            <w:tcW w:w="2036"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61,66723</w:t>
            </w:r>
          </w:p>
        </w:tc>
        <w:tc>
          <w:tcPr>
            <w:tcW w:w="2391"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2,176315</w:t>
            </w:r>
          </w:p>
        </w:tc>
        <w:tc>
          <w:tcPr>
            <w:tcW w:w="2377"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3,048149</w:t>
            </w:r>
          </w:p>
        </w:tc>
        <w:tc>
          <w:tcPr>
            <w:tcW w:w="1711"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Средняя долговая устойчивость</w:t>
            </w:r>
          </w:p>
        </w:tc>
      </w:tr>
      <w:tr w:rsidR="004000F7" w:rsidRPr="00372236" w:rsidTr="000B120E">
        <w:tc>
          <w:tcPr>
            <w:tcW w:w="1089"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4</w:t>
            </w:r>
          </w:p>
        </w:tc>
        <w:tc>
          <w:tcPr>
            <w:tcW w:w="2036"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89,61149</w:t>
            </w:r>
          </w:p>
        </w:tc>
        <w:tc>
          <w:tcPr>
            <w:tcW w:w="2391"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2,958901</w:t>
            </w:r>
          </w:p>
        </w:tc>
        <w:tc>
          <w:tcPr>
            <w:tcW w:w="2377"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4,470419</w:t>
            </w:r>
          </w:p>
        </w:tc>
        <w:tc>
          <w:tcPr>
            <w:tcW w:w="1711"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Ниже средней</w:t>
            </w:r>
          </w:p>
        </w:tc>
      </w:tr>
      <w:tr w:rsidR="004000F7" w:rsidRPr="00372236" w:rsidTr="000B120E">
        <w:tc>
          <w:tcPr>
            <w:tcW w:w="1089"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5</w:t>
            </w:r>
          </w:p>
        </w:tc>
        <w:tc>
          <w:tcPr>
            <w:tcW w:w="2036" w:type="dxa"/>
            <w:vAlign w:val="center"/>
          </w:tcPr>
          <w:p w:rsidR="004000F7" w:rsidRPr="00372236" w:rsidRDefault="004000F7" w:rsidP="00F022DA">
            <w:pPr>
              <w:pStyle w:val="2"/>
              <w:shd w:val="clear" w:color="auto" w:fill="auto"/>
              <w:spacing w:after="0" w:line="240" w:lineRule="auto"/>
              <w:rPr>
                <w:rFonts w:ascii="Arial" w:hAnsi="Arial" w:cs="Arial"/>
                <w:sz w:val="18"/>
                <w:szCs w:val="18"/>
                <w:lang w:val="en-US"/>
              </w:rPr>
            </w:pPr>
            <w:r w:rsidRPr="00372236">
              <w:rPr>
                <w:rFonts w:ascii="Arial" w:hAnsi="Arial" w:cs="Arial"/>
                <w:sz w:val="18"/>
                <w:szCs w:val="18"/>
                <w:lang w:val="en-US"/>
              </w:rPr>
              <w:t>150</w:t>
            </w:r>
            <w:r w:rsidRPr="00372236">
              <w:rPr>
                <w:rFonts w:ascii="Arial" w:hAnsi="Arial" w:cs="Arial"/>
                <w:sz w:val="18"/>
                <w:szCs w:val="18"/>
              </w:rPr>
              <w:t>,</w:t>
            </w:r>
            <w:r w:rsidRPr="00372236">
              <w:rPr>
                <w:rFonts w:ascii="Arial" w:hAnsi="Arial" w:cs="Arial"/>
                <w:sz w:val="18"/>
                <w:szCs w:val="18"/>
                <w:lang w:val="en-US"/>
              </w:rPr>
              <w:t>0588</w:t>
            </w:r>
          </w:p>
        </w:tc>
        <w:tc>
          <w:tcPr>
            <w:tcW w:w="2391"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6,042757</w:t>
            </w:r>
          </w:p>
        </w:tc>
        <w:tc>
          <w:tcPr>
            <w:tcW w:w="2377" w:type="dxa"/>
            <w:vAlign w:val="center"/>
          </w:tcPr>
          <w:p w:rsidR="004000F7" w:rsidRPr="00372236" w:rsidRDefault="004000F7" w:rsidP="00F022DA">
            <w:pPr>
              <w:pStyle w:val="2"/>
              <w:shd w:val="clear" w:color="auto" w:fill="auto"/>
              <w:spacing w:after="0" w:line="240" w:lineRule="auto"/>
              <w:rPr>
                <w:rFonts w:ascii="Arial" w:hAnsi="Arial" w:cs="Arial"/>
                <w:sz w:val="18"/>
                <w:szCs w:val="18"/>
              </w:rPr>
            </w:pPr>
            <w:r w:rsidRPr="00372236">
              <w:rPr>
                <w:rFonts w:ascii="Arial" w:hAnsi="Arial" w:cs="Arial"/>
                <w:sz w:val="18"/>
                <w:szCs w:val="18"/>
              </w:rPr>
              <w:t>9,728786</w:t>
            </w:r>
          </w:p>
        </w:tc>
        <w:tc>
          <w:tcPr>
            <w:tcW w:w="1711"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Низкая долговая устойчивость</w:t>
            </w:r>
          </w:p>
        </w:tc>
      </w:tr>
    </w:tbl>
    <w:p w:rsidR="004000F7" w:rsidRDefault="004000F7" w:rsidP="004000F7">
      <w:pPr>
        <w:pStyle w:val="2"/>
        <w:shd w:val="clear" w:color="auto" w:fill="auto"/>
        <w:spacing w:after="0" w:line="360" w:lineRule="auto"/>
        <w:jc w:val="both"/>
        <w:rPr>
          <w:sz w:val="28"/>
          <w:szCs w:val="28"/>
        </w:rPr>
      </w:pPr>
    </w:p>
    <w:p w:rsidR="00862AFA" w:rsidRPr="00B67351" w:rsidRDefault="00862AFA" w:rsidP="00B67351">
      <w:pPr>
        <w:pStyle w:val="2"/>
        <w:shd w:val="clear" w:color="auto" w:fill="auto"/>
        <w:spacing w:after="0" w:line="360" w:lineRule="auto"/>
        <w:ind w:firstLine="709"/>
        <w:jc w:val="both"/>
        <w:rPr>
          <w:sz w:val="25"/>
          <w:szCs w:val="25"/>
        </w:rPr>
      </w:pPr>
      <w:r w:rsidRPr="00B67351">
        <w:rPr>
          <w:sz w:val="25"/>
          <w:szCs w:val="25"/>
        </w:rPr>
        <w:t xml:space="preserve">В итоге кластерного анализа долговой устойчивости регионов РФ в 2016 году (табл. 3) в группу с низким уровнем вошли 4 региона - Астраханская область, Республика Мордовия, Республика Хакасия. В группу с долговой устойчивостью ниже среднего были отнесены сразу 28 субъектов РФ. В совокупности эти регионы составляют более трети всех субъектов Федерации. Еще столько же регионов (15 – с высокой долговой устойчивостью и 17 – с уровнем выше среднего) находятся в безопасной зоне </w:t>
      </w:r>
      <w:r w:rsidR="00514AEC" w:rsidRPr="00B67351">
        <w:rPr>
          <w:sz w:val="25"/>
          <w:szCs w:val="25"/>
        </w:rPr>
        <w:t>по уровню государственного долга</w:t>
      </w:r>
      <w:r w:rsidRPr="00B67351">
        <w:rPr>
          <w:sz w:val="25"/>
          <w:szCs w:val="25"/>
        </w:rPr>
        <w:t>.</w:t>
      </w:r>
    </w:p>
    <w:p w:rsidR="004000F7" w:rsidRPr="00372236" w:rsidRDefault="004000F7" w:rsidP="00372236">
      <w:pPr>
        <w:pStyle w:val="2"/>
        <w:shd w:val="clear" w:color="auto" w:fill="auto"/>
        <w:spacing w:after="0" w:line="240" w:lineRule="auto"/>
        <w:rPr>
          <w:sz w:val="24"/>
          <w:szCs w:val="28"/>
        </w:rPr>
      </w:pPr>
      <w:r w:rsidRPr="00372236">
        <w:rPr>
          <w:sz w:val="24"/>
          <w:szCs w:val="28"/>
        </w:rPr>
        <w:t>Таблица</w:t>
      </w:r>
      <w:r w:rsidR="00372236" w:rsidRPr="00372236">
        <w:rPr>
          <w:sz w:val="24"/>
          <w:szCs w:val="28"/>
        </w:rPr>
        <w:t xml:space="preserve"> 3 -</w:t>
      </w:r>
      <w:r w:rsidRPr="00372236">
        <w:rPr>
          <w:sz w:val="24"/>
          <w:szCs w:val="28"/>
        </w:rPr>
        <w:t xml:space="preserve"> Распределение регионов РФ по кластерам долговой устойчивости.</w:t>
      </w:r>
    </w:p>
    <w:tbl>
      <w:tblPr>
        <w:tblStyle w:val="af4"/>
        <w:tblW w:w="9889" w:type="dxa"/>
        <w:tblLook w:val="04A0" w:firstRow="1" w:lastRow="0" w:firstColumn="1" w:lastColumn="0" w:noHBand="0" w:noVBand="1"/>
      </w:tblPr>
      <w:tblGrid>
        <w:gridCol w:w="1526"/>
        <w:gridCol w:w="1607"/>
        <w:gridCol w:w="6756"/>
      </w:tblGrid>
      <w:tr w:rsidR="004000F7" w:rsidRPr="00372236" w:rsidTr="00463604">
        <w:tc>
          <w:tcPr>
            <w:tcW w:w="152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Номер кластера</w:t>
            </w:r>
          </w:p>
        </w:tc>
        <w:tc>
          <w:tcPr>
            <w:tcW w:w="1607"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Количество регионов</w:t>
            </w:r>
          </w:p>
        </w:tc>
        <w:tc>
          <w:tcPr>
            <w:tcW w:w="675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Регионы</w:t>
            </w:r>
          </w:p>
        </w:tc>
      </w:tr>
      <w:tr w:rsidR="004000F7" w:rsidRPr="00372236" w:rsidTr="00463604">
        <w:tc>
          <w:tcPr>
            <w:tcW w:w="152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1</w:t>
            </w:r>
          </w:p>
        </w:tc>
        <w:tc>
          <w:tcPr>
            <w:tcW w:w="1607"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15</w:t>
            </w:r>
          </w:p>
        </w:tc>
        <w:tc>
          <w:tcPr>
            <w:tcW w:w="675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Владимирская область, г. Москва, Ленинградская область, г. Санкт-Петербург, г. Севастополь, Республика Крым, Республика Башкортостан, Пермский край, Тюменская область, Ханты-Мансийский АО, Алтайский край, Иркутская область, Приморский край, Камчатский край.</w:t>
            </w:r>
          </w:p>
        </w:tc>
      </w:tr>
      <w:tr w:rsidR="004000F7" w:rsidRPr="00372236" w:rsidTr="00463604">
        <w:tc>
          <w:tcPr>
            <w:tcW w:w="152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2</w:t>
            </w:r>
          </w:p>
        </w:tc>
        <w:tc>
          <w:tcPr>
            <w:tcW w:w="1607"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17</w:t>
            </w:r>
          </w:p>
        </w:tc>
        <w:tc>
          <w:tcPr>
            <w:tcW w:w="675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 xml:space="preserve">Костромская область, Курская область, Липецкая область, Московская область, Тульская область, Мурманская область, Ненецкий АО, Ростовская область, Республика Адыгея, Республика Татарстан, Кировская область, Оренбургская область, Свердловская область, Челябинская область, Ямало-Ненецкий АО, Республика Бурятия, Новосибирская область, Республика Саха. </w:t>
            </w:r>
          </w:p>
        </w:tc>
      </w:tr>
      <w:tr w:rsidR="004000F7" w:rsidRPr="00372236" w:rsidTr="00463604">
        <w:tc>
          <w:tcPr>
            <w:tcW w:w="152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3</w:t>
            </w:r>
          </w:p>
        </w:tc>
        <w:tc>
          <w:tcPr>
            <w:tcW w:w="1607"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22</w:t>
            </w:r>
          </w:p>
        </w:tc>
        <w:tc>
          <w:tcPr>
            <w:tcW w:w="675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Брянская область, Воронежская область, Калужская область, Тверская область, Тамбовская область, Вологодская область, Калининградская область, Новгородская область, Республика Дагестан, Ставропольский край, Чеченская Республика, Чувашская Республика, Нижегородская область, Самарская область, Пензенская область, Ульяновская область, Республика Тыва, Красноярский край, Томская область, Республика Алтай, Хабаровский край, Магаданская область.</w:t>
            </w:r>
          </w:p>
        </w:tc>
      </w:tr>
      <w:tr w:rsidR="004000F7" w:rsidRPr="00372236" w:rsidTr="00463604">
        <w:tc>
          <w:tcPr>
            <w:tcW w:w="152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4</w:t>
            </w:r>
          </w:p>
        </w:tc>
        <w:tc>
          <w:tcPr>
            <w:tcW w:w="1607"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28</w:t>
            </w:r>
          </w:p>
        </w:tc>
        <w:tc>
          <w:tcPr>
            <w:tcW w:w="675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Белгородская область, Ивановская область, Орловская область, Рязанская область, Смоленская область, Ярославская область, Республика Карелия, Республика Коми, Архангельская область, Псковская область, Республика Калмыкия, Краснодарский край, Волгоградская область, кабардино-Балкарская Республика, Республика Северная Осетия, Республика Ингушетия, Карачаево-Черкесская Республика, Республика Марий Эл, Удмуртская Республика, Саратовская область, Курганская область, Кемеровская область, Омская область, Забайкальский край, Амурская область, Еврейская автономная область, Чукотский АО.</w:t>
            </w:r>
          </w:p>
        </w:tc>
      </w:tr>
      <w:tr w:rsidR="004000F7" w:rsidRPr="00372236" w:rsidTr="00463604">
        <w:tc>
          <w:tcPr>
            <w:tcW w:w="152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5</w:t>
            </w:r>
          </w:p>
        </w:tc>
        <w:tc>
          <w:tcPr>
            <w:tcW w:w="1607"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3</w:t>
            </w:r>
          </w:p>
        </w:tc>
        <w:tc>
          <w:tcPr>
            <w:tcW w:w="6756" w:type="dxa"/>
          </w:tcPr>
          <w:p w:rsidR="004000F7" w:rsidRPr="00372236" w:rsidRDefault="004000F7" w:rsidP="00F022DA">
            <w:pPr>
              <w:pStyle w:val="2"/>
              <w:shd w:val="clear" w:color="auto" w:fill="auto"/>
              <w:spacing w:after="0" w:line="240" w:lineRule="auto"/>
              <w:jc w:val="both"/>
              <w:rPr>
                <w:rFonts w:ascii="Arial" w:hAnsi="Arial" w:cs="Arial"/>
                <w:sz w:val="18"/>
                <w:szCs w:val="18"/>
              </w:rPr>
            </w:pPr>
            <w:r w:rsidRPr="00372236">
              <w:rPr>
                <w:rFonts w:ascii="Arial" w:hAnsi="Arial" w:cs="Arial"/>
                <w:sz w:val="18"/>
                <w:szCs w:val="18"/>
              </w:rPr>
              <w:t>Астраханская область, Республика Мордовия, Республика Хакасия.</w:t>
            </w:r>
          </w:p>
        </w:tc>
      </w:tr>
    </w:tbl>
    <w:p w:rsidR="004000F7" w:rsidRDefault="004000F7" w:rsidP="004000F7">
      <w:pPr>
        <w:pStyle w:val="2"/>
        <w:shd w:val="clear" w:color="auto" w:fill="auto"/>
        <w:spacing w:after="0" w:line="360" w:lineRule="auto"/>
        <w:jc w:val="both"/>
        <w:rPr>
          <w:sz w:val="28"/>
          <w:szCs w:val="28"/>
        </w:rPr>
      </w:pPr>
    </w:p>
    <w:p w:rsidR="00514AEC" w:rsidRPr="00B67351" w:rsidRDefault="00514AEC" w:rsidP="00B67351">
      <w:pPr>
        <w:autoSpaceDE w:val="0"/>
        <w:autoSpaceDN w:val="0"/>
        <w:adjustRightInd w:val="0"/>
        <w:spacing w:after="0" w:line="360" w:lineRule="auto"/>
        <w:ind w:firstLine="709"/>
        <w:jc w:val="both"/>
        <w:rPr>
          <w:rFonts w:ascii="Times New Roman" w:eastAsia="ArialMT" w:hAnsi="Times New Roman" w:cs="Times New Roman"/>
          <w:sz w:val="25"/>
          <w:szCs w:val="25"/>
        </w:rPr>
      </w:pPr>
      <w:r w:rsidRPr="00B67351">
        <w:rPr>
          <w:rFonts w:ascii="Times New Roman" w:eastAsia="ArialMT" w:hAnsi="Times New Roman" w:cs="Times New Roman"/>
          <w:sz w:val="25"/>
          <w:szCs w:val="25"/>
        </w:rPr>
        <w:t xml:space="preserve">Таким образом, кластерный анализ долговой устойчивости регионов показал, что большая часть территории страны в настоящее время продолжает испытывать всю тяжесть долгового бремени. </w:t>
      </w:r>
      <w:r w:rsidR="00BD51AB" w:rsidRPr="00B67351">
        <w:rPr>
          <w:rFonts w:ascii="Times New Roman" w:eastAsia="ArialMT" w:hAnsi="Times New Roman" w:cs="Times New Roman"/>
          <w:sz w:val="25"/>
          <w:szCs w:val="25"/>
        </w:rPr>
        <w:t>Для решения данного вопроса целесообразно продолжать активную реализацию мер по повышению долговой устойчивости (табл. 4).</w:t>
      </w:r>
    </w:p>
    <w:p w:rsidR="00B67351" w:rsidRDefault="00B67351" w:rsidP="002953B7">
      <w:pPr>
        <w:pStyle w:val="25"/>
        <w:shd w:val="clear" w:color="auto" w:fill="auto"/>
        <w:spacing w:after="0" w:line="220" w:lineRule="exact"/>
        <w:jc w:val="center"/>
        <w:rPr>
          <w:rStyle w:val="ac"/>
          <w:rFonts w:eastAsiaTheme="minorHAnsi"/>
          <w:b w:val="0"/>
          <w:bCs w:val="0"/>
          <w:sz w:val="24"/>
          <w:szCs w:val="24"/>
          <w:u w:val="none"/>
        </w:rPr>
      </w:pPr>
    </w:p>
    <w:p w:rsidR="00B67351" w:rsidRDefault="00B67351" w:rsidP="002953B7">
      <w:pPr>
        <w:pStyle w:val="25"/>
        <w:shd w:val="clear" w:color="auto" w:fill="auto"/>
        <w:spacing w:after="0" w:line="220" w:lineRule="exact"/>
        <w:jc w:val="center"/>
        <w:rPr>
          <w:rStyle w:val="ac"/>
          <w:rFonts w:eastAsiaTheme="minorHAnsi"/>
          <w:b w:val="0"/>
          <w:bCs w:val="0"/>
          <w:sz w:val="24"/>
          <w:szCs w:val="24"/>
          <w:u w:val="none"/>
        </w:rPr>
      </w:pPr>
    </w:p>
    <w:p w:rsidR="002953B7" w:rsidRPr="00463604" w:rsidRDefault="002953B7" w:rsidP="002953B7">
      <w:pPr>
        <w:pStyle w:val="25"/>
        <w:shd w:val="clear" w:color="auto" w:fill="auto"/>
        <w:spacing w:after="0" w:line="220" w:lineRule="exact"/>
        <w:jc w:val="center"/>
        <w:rPr>
          <w:b/>
          <w:sz w:val="24"/>
          <w:szCs w:val="24"/>
        </w:rPr>
      </w:pPr>
      <w:r w:rsidRPr="00463604">
        <w:rPr>
          <w:rStyle w:val="ac"/>
          <w:rFonts w:eastAsiaTheme="minorHAnsi"/>
          <w:b w:val="0"/>
          <w:bCs w:val="0"/>
          <w:sz w:val="24"/>
          <w:szCs w:val="24"/>
          <w:u w:val="none"/>
        </w:rPr>
        <w:lastRenderedPageBreak/>
        <w:t xml:space="preserve">Таблица </w:t>
      </w:r>
      <w:r w:rsidR="00BD51AB">
        <w:rPr>
          <w:rStyle w:val="ac"/>
          <w:rFonts w:eastAsiaTheme="minorHAnsi"/>
          <w:b w:val="0"/>
          <w:bCs w:val="0"/>
          <w:sz w:val="24"/>
          <w:szCs w:val="24"/>
          <w:u w:val="none"/>
        </w:rPr>
        <w:t xml:space="preserve">4 </w:t>
      </w:r>
      <w:r w:rsidRPr="00463604">
        <w:rPr>
          <w:rStyle w:val="ac"/>
          <w:rFonts w:eastAsiaTheme="minorHAnsi"/>
          <w:b w:val="0"/>
          <w:bCs w:val="0"/>
          <w:sz w:val="24"/>
          <w:szCs w:val="24"/>
          <w:u w:val="none"/>
        </w:rPr>
        <w:t>– Меры по повышению долговой устойчивости регионов</w:t>
      </w:r>
    </w:p>
    <w:tbl>
      <w:tblPr>
        <w:tblW w:w="0" w:type="auto"/>
        <w:tblLayout w:type="fixed"/>
        <w:tblCellMar>
          <w:left w:w="10" w:type="dxa"/>
          <w:right w:w="10" w:type="dxa"/>
        </w:tblCellMar>
        <w:tblLook w:val="0000" w:firstRow="0" w:lastRow="0" w:firstColumn="0" w:lastColumn="0" w:noHBand="0" w:noVBand="0"/>
      </w:tblPr>
      <w:tblGrid>
        <w:gridCol w:w="2669"/>
        <w:gridCol w:w="6980"/>
      </w:tblGrid>
      <w:tr w:rsidR="002953B7" w:rsidRPr="00463604" w:rsidTr="002953B7">
        <w:trPr>
          <w:trHeight w:hRule="exact" w:val="679"/>
        </w:trPr>
        <w:tc>
          <w:tcPr>
            <w:tcW w:w="2669" w:type="dxa"/>
            <w:tcBorders>
              <w:top w:val="single" w:sz="4" w:space="0" w:color="auto"/>
              <w:left w:val="single" w:sz="4" w:space="0" w:color="auto"/>
            </w:tcBorders>
            <w:shd w:val="clear" w:color="auto" w:fill="FFFFFF"/>
            <w:vAlign w:val="bottom"/>
          </w:tcPr>
          <w:p w:rsidR="002953B7" w:rsidRPr="00463604" w:rsidRDefault="002953B7" w:rsidP="002953B7">
            <w:pPr>
              <w:pStyle w:val="2"/>
              <w:shd w:val="clear" w:color="auto" w:fill="auto"/>
              <w:spacing w:after="0" w:line="240" w:lineRule="auto"/>
              <w:rPr>
                <w:rFonts w:ascii="Arial" w:hAnsi="Arial" w:cs="Arial"/>
                <w:sz w:val="18"/>
                <w:szCs w:val="18"/>
              </w:rPr>
            </w:pPr>
            <w:r w:rsidRPr="00463604">
              <w:rPr>
                <w:rStyle w:val="10pt0pt"/>
                <w:rFonts w:ascii="Arial" w:hAnsi="Arial" w:cs="Arial"/>
                <w:sz w:val="18"/>
                <w:szCs w:val="18"/>
              </w:rPr>
              <w:t>Группа методов общей теории менеджмента</w:t>
            </w:r>
          </w:p>
        </w:tc>
        <w:tc>
          <w:tcPr>
            <w:tcW w:w="6980" w:type="dxa"/>
            <w:tcBorders>
              <w:top w:val="single" w:sz="4" w:space="0" w:color="auto"/>
              <w:left w:val="single" w:sz="4" w:space="0" w:color="auto"/>
              <w:right w:val="single" w:sz="4" w:space="0" w:color="auto"/>
            </w:tcBorders>
            <w:shd w:val="clear" w:color="auto" w:fill="FFFFFF"/>
          </w:tcPr>
          <w:p w:rsidR="002953B7" w:rsidRPr="00463604" w:rsidRDefault="002953B7" w:rsidP="002953B7">
            <w:pPr>
              <w:pStyle w:val="2"/>
              <w:shd w:val="clear" w:color="auto" w:fill="auto"/>
              <w:spacing w:after="0" w:line="240" w:lineRule="auto"/>
              <w:rPr>
                <w:rFonts w:ascii="Arial" w:hAnsi="Arial" w:cs="Arial"/>
                <w:sz w:val="18"/>
                <w:szCs w:val="18"/>
              </w:rPr>
            </w:pPr>
            <w:r w:rsidRPr="00463604">
              <w:rPr>
                <w:rStyle w:val="10pt0pt"/>
                <w:rFonts w:ascii="Arial" w:hAnsi="Arial" w:cs="Arial"/>
                <w:sz w:val="18"/>
                <w:szCs w:val="18"/>
              </w:rPr>
              <w:t>Мероприятия</w:t>
            </w:r>
          </w:p>
        </w:tc>
      </w:tr>
      <w:tr w:rsidR="002953B7" w:rsidRPr="00463604" w:rsidTr="00BD51AB">
        <w:trPr>
          <w:trHeight w:hRule="exact" w:val="1777"/>
        </w:trPr>
        <w:tc>
          <w:tcPr>
            <w:tcW w:w="2669" w:type="dxa"/>
            <w:tcBorders>
              <w:top w:val="single" w:sz="4" w:space="0" w:color="auto"/>
              <w:left w:val="single" w:sz="4" w:space="0" w:color="auto"/>
            </w:tcBorders>
            <w:shd w:val="clear" w:color="auto" w:fill="FFFFFF"/>
          </w:tcPr>
          <w:p w:rsidR="002953B7" w:rsidRPr="00463604" w:rsidRDefault="002953B7" w:rsidP="002953B7">
            <w:pPr>
              <w:pStyle w:val="2"/>
              <w:shd w:val="clear" w:color="auto" w:fill="auto"/>
              <w:spacing w:after="0" w:line="240" w:lineRule="auto"/>
              <w:jc w:val="both"/>
              <w:rPr>
                <w:rFonts w:ascii="Arial" w:hAnsi="Arial" w:cs="Arial"/>
                <w:sz w:val="18"/>
                <w:szCs w:val="18"/>
              </w:rPr>
            </w:pPr>
            <w:r w:rsidRPr="00463604">
              <w:rPr>
                <w:rStyle w:val="10pt0pt"/>
                <w:rFonts w:ascii="Arial" w:hAnsi="Arial" w:cs="Arial"/>
                <w:sz w:val="18"/>
                <w:szCs w:val="18"/>
              </w:rPr>
              <w:t>Экономические</w:t>
            </w:r>
          </w:p>
        </w:tc>
        <w:tc>
          <w:tcPr>
            <w:tcW w:w="6980" w:type="dxa"/>
            <w:tcBorders>
              <w:top w:val="single" w:sz="4" w:space="0" w:color="auto"/>
              <w:left w:val="single" w:sz="4" w:space="0" w:color="auto"/>
              <w:right w:val="single" w:sz="4" w:space="0" w:color="auto"/>
            </w:tcBorders>
            <w:shd w:val="clear" w:color="auto" w:fill="FFFFFF"/>
            <w:vAlign w:val="bottom"/>
          </w:tcPr>
          <w:p w:rsidR="002953B7" w:rsidRPr="00463604" w:rsidRDefault="002953B7" w:rsidP="002953B7">
            <w:pPr>
              <w:pStyle w:val="2"/>
              <w:numPr>
                <w:ilvl w:val="0"/>
                <w:numId w:val="3"/>
              </w:numPr>
              <w:shd w:val="clear" w:color="auto" w:fill="auto"/>
              <w:tabs>
                <w:tab w:val="left" w:pos="221"/>
              </w:tabs>
              <w:spacing w:after="0" w:line="240" w:lineRule="auto"/>
              <w:jc w:val="both"/>
              <w:rPr>
                <w:rFonts w:ascii="Arial" w:hAnsi="Arial" w:cs="Arial"/>
                <w:sz w:val="18"/>
                <w:szCs w:val="18"/>
              </w:rPr>
            </w:pPr>
            <w:r w:rsidRPr="00463604">
              <w:rPr>
                <w:rStyle w:val="10pt0pt"/>
                <w:rFonts w:ascii="Arial" w:hAnsi="Arial" w:cs="Arial"/>
                <w:sz w:val="18"/>
                <w:szCs w:val="18"/>
              </w:rPr>
              <w:t>рефинансирование долга;</w:t>
            </w:r>
          </w:p>
          <w:p w:rsidR="002953B7" w:rsidRPr="00463604" w:rsidRDefault="002953B7" w:rsidP="002953B7">
            <w:pPr>
              <w:pStyle w:val="2"/>
              <w:numPr>
                <w:ilvl w:val="0"/>
                <w:numId w:val="3"/>
              </w:numPr>
              <w:shd w:val="clear" w:color="auto" w:fill="auto"/>
              <w:tabs>
                <w:tab w:val="left" w:pos="226"/>
              </w:tabs>
              <w:spacing w:after="0" w:line="240" w:lineRule="auto"/>
              <w:jc w:val="both"/>
              <w:rPr>
                <w:rFonts w:ascii="Arial" w:hAnsi="Arial" w:cs="Arial"/>
                <w:sz w:val="18"/>
                <w:szCs w:val="18"/>
              </w:rPr>
            </w:pPr>
            <w:r w:rsidRPr="00463604">
              <w:rPr>
                <w:rStyle w:val="10pt0pt"/>
                <w:rFonts w:ascii="Arial" w:hAnsi="Arial" w:cs="Arial"/>
                <w:sz w:val="18"/>
                <w:szCs w:val="18"/>
              </w:rPr>
              <w:t>пролонгация выплат по долгу;</w:t>
            </w:r>
          </w:p>
          <w:p w:rsidR="002953B7" w:rsidRPr="00463604" w:rsidRDefault="002953B7" w:rsidP="002953B7">
            <w:pPr>
              <w:pStyle w:val="2"/>
              <w:numPr>
                <w:ilvl w:val="0"/>
                <w:numId w:val="3"/>
              </w:numPr>
              <w:shd w:val="clear" w:color="auto" w:fill="auto"/>
              <w:tabs>
                <w:tab w:val="left" w:pos="221"/>
              </w:tabs>
              <w:spacing w:after="0" w:line="240" w:lineRule="auto"/>
              <w:jc w:val="both"/>
              <w:rPr>
                <w:rFonts w:ascii="Arial" w:hAnsi="Arial" w:cs="Arial"/>
                <w:sz w:val="18"/>
                <w:szCs w:val="18"/>
              </w:rPr>
            </w:pPr>
            <w:r w:rsidRPr="00463604">
              <w:rPr>
                <w:rStyle w:val="10pt0pt"/>
                <w:rFonts w:ascii="Arial" w:hAnsi="Arial" w:cs="Arial"/>
                <w:sz w:val="18"/>
                <w:szCs w:val="18"/>
              </w:rPr>
              <w:t>реструктуризация просроченной задолженности</w:t>
            </w:r>
            <w:r w:rsidR="00463604">
              <w:rPr>
                <w:rStyle w:val="10pt0pt"/>
                <w:rFonts w:ascii="Arial" w:hAnsi="Arial" w:cs="Arial"/>
                <w:sz w:val="18"/>
                <w:szCs w:val="18"/>
              </w:rPr>
              <w:t>;</w:t>
            </w:r>
          </w:p>
          <w:p w:rsidR="002953B7" w:rsidRPr="00463604" w:rsidRDefault="002953B7" w:rsidP="002953B7">
            <w:pPr>
              <w:pStyle w:val="2"/>
              <w:numPr>
                <w:ilvl w:val="0"/>
                <w:numId w:val="3"/>
              </w:numPr>
              <w:shd w:val="clear" w:color="auto" w:fill="auto"/>
              <w:tabs>
                <w:tab w:val="left" w:pos="211"/>
              </w:tabs>
              <w:spacing w:after="0" w:line="240" w:lineRule="auto"/>
              <w:jc w:val="both"/>
              <w:rPr>
                <w:rStyle w:val="10pt0pt"/>
                <w:rFonts w:ascii="Arial" w:hAnsi="Arial" w:cs="Arial"/>
                <w:color w:val="auto"/>
                <w:spacing w:val="-1"/>
                <w:sz w:val="18"/>
                <w:szCs w:val="18"/>
                <w:shd w:val="clear" w:color="auto" w:fill="auto"/>
                <w:lang w:eastAsia="en-US" w:bidi="ar-SA"/>
              </w:rPr>
            </w:pPr>
            <w:r w:rsidRPr="00463604">
              <w:rPr>
                <w:rStyle w:val="10pt0pt"/>
                <w:rFonts w:ascii="Arial" w:hAnsi="Arial" w:cs="Arial"/>
                <w:sz w:val="18"/>
                <w:szCs w:val="18"/>
              </w:rPr>
              <w:t>учет доступности заемных ресурсов</w:t>
            </w:r>
            <w:r w:rsidR="007D567B" w:rsidRPr="00463604">
              <w:rPr>
                <w:rStyle w:val="10pt0pt"/>
                <w:rFonts w:ascii="Arial" w:hAnsi="Arial" w:cs="Arial"/>
                <w:sz w:val="18"/>
                <w:szCs w:val="18"/>
              </w:rPr>
              <w:t xml:space="preserve"> путем мониторинга кредитного и фондового рынков</w:t>
            </w:r>
            <w:r w:rsidR="00463604">
              <w:rPr>
                <w:rStyle w:val="10pt0pt"/>
                <w:rFonts w:ascii="Arial" w:hAnsi="Arial" w:cs="Arial"/>
                <w:sz w:val="18"/>
                <w:szCs w:val="18"/>
              </w:rPr>
              <w:t>;</w:t>
            </w:r>
          </w:p>
          <w:p w:rsidR="00463604" w:rsidRPr="00463604" w:rsidRDefault="00463604" w:rsidP="002953B7">
            <w:pPr>
              <w:pStyle w:val="2"/>
              <w:numPr>
                <w:ilvl w:val="0"/>
                <w:numId w:val="3"/>
              </w:numPr>
              <w:shd w:val="clear" w:color="auto" w:fill="auto"/>
              <w:tabs>
                <w:tab w:val="left" w:pos="211"/>
              </w:tabs>
              <w:spacing w:after="0" w:line="240" w:lineRule="auto"/>
              <w:jc w:val="both"/>
              <w:rPr>
                <w:rFonts w:ascii="Arial" w:hAnsi="Arial" w:cs="Arial"/>
                <w:sz w:val="18"/>
                <w:szCs w:val="18"/>
              </w:rPr>
            </w:pPr>
            <w:r w:rsidRPr="00463604">
              <w:rPr>
                <w:rFonts w:ascii="Arial" w:hAnsi="Arial" w:cs="Arial"/>
                <w:color w:val="000000"/>
                <w:sz w:val="18"/>
                <w:szCs w:val="18"/>
                <w:lang w:eastAsia="ru-RU" w:bidi="ru-RU"/>
              </w:rPr>
              <w:t>мониторинг финансового состояния принципалов, которым предоставлены государственные гарантии регионами</w:t>
            </w:r>
            <w:r>
              <w:rPr>
                <w:rFonts w:ascii="Arial" w:hAnsi="Arial" w:cs="Arial"/>
                <w:color w:val="000000"/>
                <w:sz w:val="18"/>
                <w:szCs w:val="18"/>
                <w:lang w:eastAsia="ru-RU" w:bidi="ru-RU"/>
              </w:rPr>
              <w:t>;</w:t>
            </w:r>
          </w:p>
          <w:p w:rsidR="00463604" w:rsidRPr="00463604" w:rsidRDefault="00463604" w:rsidP="002953B7">
            <w:pPr>
              <w:pStyle w:val="2"/>
              <w:numPr>
                <w:ilvl w:val="0"/>
                <w:numId w:val="3"/>
              </w:numPr>
              <w:shd w:val="clear" w:color="auto" w:fill="auto"/>
              <w:tabs>
                <w:tab w:val="left" w:pos="211"/>
              </w:tabs>
              <w:spacing w:after="0" w:line="240" w:lineRule="auto"/>
              <w:jc w:val="both"/>
              <w:rPr>
                <w:rFonts w:ascii="Arial" w:hAnsi="Arial" w:cs="Arial"/>
                <w:sz w:val="18"/>
                <w:szCs w:val="18"/>
              </w:rPr>
            </w:pPr>
            <w:r>
              <w:rPr>
                <w:rFonts w:ascii="Arial" w:hAnsi="Arial" w:cs="Arial"/>
                <w:color w:val="000000"/>
                <w:sz w:val="18"/>
                <w:szCs w:val="18"/>
                <w:lang w:eastAsia="ru-RU" w:bidi="ru-RU"/>
              </w:rPr>
              <w:t>введение моратория на предоставление новых гарантий</w:t>
            </w:r>
          </w:p>
        </w:tc>
      </w:tr>
      <w:tr w:rsidR="002953B7" w:rsidRPr="00463604" w:rsidTr="00BD51AB">
        <w:trPr>
          <w:trHeight w:hRule="exact" w:val="1427"/>
        </w:trPr>
        <w:tc>
          <w:tcPr>
            <w:tcW w:w="2669" w:type="dxa"/>
            <w:tcBorders>
              <w:top w:val="single" w:sz="4" w:space="0" w:color="auto"/>
              <w:left w:val="single" w:sz="4" w:space="0" w:color="auto"/>
            </w:tcBorders>
            <w:shd w:val="clear" w:color="auto" w:fill="FFFFFF"/>
          </w:tcPr>
          <w:p w:rsidR="002953B7" w:rsidRPr="00463604" w:rsidRDefault="002953B7" w:rsidP="002953B7">
            <w:pPr>
              <w:pStyle w:val="2"/>
              <w:shd w:val="clear" w:color="auto" w:fill="auto"/>
              <w:spacing w:after="0" w:line="240" w:lineRule="auto"/>
              <w:jc w:val="both"/>
              <w:rPr>
                <w:rFonts w:ascii="Arial" w:hAnsi="Arial" w:cs="Arial"/>
                <w:sz w:val="18"/>
                <w:szCs w:val="18"/>
              </w:rPr>
            </w:pPr>
            <w:r w:rsidRPr="00463604">
              <w:rPr>
                <w:rStyle w:val="10pt0pt"/>
                <w:rFonts w:ascii="Arial" w:hAnsi="Arial" w:cs="Arial"/>
                <w:sz w:val="18"/>
                <w:szCs w:val="18"/>
              </w:rPr>
              <w:t>Организационно</w:t>
            </w:r>
            <w:r w:rsidRPr="00463604">
              <w:rPr>
                <w:rStyle w:val="10pt0pt"/>
                <w:rFonts w:ascii="Arial" w:hAnsi="Arial" w:cs="Arial"/>
                <w:sz w:val="18"/>
                <w:szCs w:val="18"/>
              </w:rPr>
              <w:softHyphen/>
            </w:r>
          </w:p>
          <w:p w:rsidR="002953B7" w:rsidRPr="00463604" w:rsidRDefault="002953B7" w:rsidP="002953B7">
            <w:pPr>
              <w:pStyle w:val="2"/>
              <w:shd w:val="clear" w:color="auto" w:fill="auto"/>
              <w:spacing w:after="0" w:line="240" w:lineRule="auto"/>
              <w:jc w:val="both"/>
              <w:rPr>
                <w:rFonts w:ascii="Arial" w:hAnsi="Arial" w:cs="Arial"/>
                <w:sz w:val="18"/>
                <w:szCs w:val="18"/>
              </w:rPr>
            </w:pPr>
            <w:r w:rsidRPr="00463604">
              <w:rPr>
                <w:rStyle w:val="10pt0pt"/>
                <w:rFonts w:ascii="Arial" w:hAnsi="Arial" w:cs="Arial"/>
                <w:sz w:val="18"/>
                <w:szCs w:val="18"/>
              </w:rPr>
              <w:t>административные</w:t>
            </w:r>
          </w:p>
        </w:tc>
        <w:tc>
          <w:tcPr>
            <w:tcW w:w="6980" w:type="dxa"/>
            <w:tcBorders>
              <w:top w:val="single" w:sz="4" w:space="0" w:color="auto"/>
              <w:left w:val="single" w:sz="4" w:space="0" w:color="auto"/>
              <w:right w:val="single" w:sz="4" w:space="0" w:color="auto"/>
            </w:tcBorders>
            <w:shd w:val="clear" w:color="auto" w:fill="FFFFFF"/>
            <w:vAlign w:val="bottom"/>
          </w:tcPr>
          <w:p w:rsidR="002953B7" w:rsidRPr="00463604" w:rsidRDefault="002953B7" w:rsidP="002953B7">
            <w:pPr>
              <w:pStyle w:val="2"/>
              <w:numPr>
                <w:ilvl w:val="0"/>
                <w:numId w:val="4"/>
              </w:numPr>
              <w:shd w:val="clear" w:color="auto" w:fill="auto"/>
              <w:tabs>
                <w:tab w:val="left" w:pos="202"/>
              </w:tabs>
              <w:spacing w:after="0" w:line="240" w:lineRule="auto"/>
              <w:jc w:val="both"/>
              <w:rPr>
                <w:rFonts w:ascii="Arial" w:hAnsi="Arial" w:cs="Arial"/>
                <w:sz w:val="18"/>
                <w:szCs w:val="18"/>
              </w:rPr>
            </w:pPr>
            <w:r w:rsidRPr="00463604">
              <w:rPr>
                <w:rStyle w:val="10pt0pt"/>
                <w:rFonts w:ascii="Arial" w:hAnsi="Arial" w:cs="Arial"/>
                <w:sz w:val="18"/>
                <w:szCs w:val="18"/>
              </w:rPr>
              <w:t>анализ объема и структуры долга;</w:t>
            </w:r>
          </w:p>
          <w:p w:rsidR="002953B7" w:rsidRPr="00463604" w:rsidRDefault="002953B7" w:rsidP="002953B7">
            <w:pPr>
              <w:pStyle w:val="2"/>
              <w:numPr>
                <w:ilvl w:val="0"/>
                <w:numId w:val="4"/>
              </w:numPr>
              <w:shd w:val="clear" w:color="auto" w:fill="auto"/>
              <w:tabs>
                <w:tab w:val="left" w:pos="226"/>
              </w:tabs>
              <w:spacing w:after="0" w:line="240" w:lineRule="auto"/>
              <w:jc w:val="both"/>
              <w:rPr>
                <w:rFonts w:ascii="Arial" w:hAnsi="Arial" w:cs="Arial"/>
                <w:sz w:val="18"/>
                <w:szCs w:val="18"/>
              </w:rPr>
            </w:pPr>
            <w:r w:rsidRPr="00463604">
              <w:rPr>
                <w:rStyle w:val="10pt0pt"/>
                <w:rFonts w:ascii="Arial" w:hAnsi="Arial" w:cs="Arial"/>
                <w:sz w:val="18"/>
                <w:szCs w:val="18"/>
              </w:rPr>
              <w:t>оценка долговой емкости бюджета;</w:t>
            </w:r>
          </w:p>
          <w:p w:rsidR="002953B7" w:rsidRPr="00463604" w:rsidRDefault="002953B7" w:rsidP="002953B7">
            <w:pPr>
              <w:pStyle w:val="2"/>
              <w:numPr>
                <w:ilvl w:val="0"/>
                <w:numId w:val="4"/>
              </w:numPr>
              <w:shd w:val="clear" w:color="auto" w:fill="auto"/>
              <w:tabs>
                <w:tab w:val="left" w:pos="408"/>
              </w:tabs>
              <w:spacing w:after="0" w:line="240" w:lineRule="auto"/>
              <w:jc w:val="both"/>
              <w:rPr>
                <w:rFonts w:ascii="Arial" w:hAnsi="Arial" w:cs="Arial"/>
                <w:sz w:val="18"/>
                <w:szCs w:val="18"/>
              </w:rPr>
            </w:pPr>
            <w:r w:rsidRPr="00463604">
              <w:rPr>
                <w:rStyle w:val="10pt0pt"/>
                <w:rFonts w:ascii="Arial" w:hAnsi="Arial" w:cs="Arial"/>
                <w:sz w:val="18"/>
                <w:szCs w:val="18"/>
              </w:rPr>
              <w:t>разработка и реализация плана привлечения долговых заимствований;</w:t>
            </w:r>
          </w:p>
          <w:p w:rsidR="007D567B" w:rsidRPr="00463604" w:rsidRDefault="002953B7" w:rsidP="007D567B">
            <w:pPr>
              <w:pStyle w:val="2"/>
              <w:numPr>
                <w:ilvl w:val="0"/>
                <w:numId w:val="4"/>
              </w:numPr>
              <w:shd w:val="clear" w:color="auto" w:fill="auto"/>
              <w:tabs>
                <w:tab w:val="left" w:pos="326"/>
              </w:tabs>
              <w:spacing w:after="0" w:line="240" w:lineRule="auto"/>
              <w:jc w:val="both"/>
              <w:rPr>
                <w:rStyle w:val="10pt0pt"/>
                <w:rFonts w:ascii="Arial" w:hAnsi="Arial" w:cs="Arial"/>
                <w:color w:val="auto"/>
                <w:spacing w:val="-1"/>
                <w:sz w:val="18"/>
                <w:szCs w:val="18"/>
                <w:shd w:val="clear" w:color="auto" w:fill="auto"/>
                <w:lang w:eastAsia="en-US" w:bidi="ar-SA"/>
              </w:rPr>
            </w:pPr>
            <w:r w:rsidRPr="00463604">
              <w:rPr>
                <w:rStyle w:val="10pt0pt"/>
                <w:rFonts w:ascii="Arial" w:hAnsi="Arial" w:cs="Arial"/>
                <w:sz w:val="18"/>
                <w:szCs w:val="18"/>
              </w:rPr>
              <w:t xml:space="preserve">координация регионов с федеральным центром в вопросах управления государственным </w:t>
            </w:r>
            <w:r w:rsidR="00463604">
              <w:rPr>
                <w:rStyle w:val="10pt0pt"/>
                <w:rFonts w:ascii="Arial" w:hAnsi="Arial" w:cs="Arial"/>
                <w:sz w:val="18"/>
                <w:szCs w:val="18"/>
              </w:rPr>
              <w:t>долгом;</w:t>
            </w:r>
          </w:p>
          <w:p w:rsidR="007D567B" w:rsidRPr="00BD51AB" w:rsidRDefault="00BD51AB" w:rsidP="00BD51AB">
            <w:pPr>
              <w:pStyle w:val="2"/>
              <w:numPr>
                <w:ilvl w:val="0"/>
                <w:numId w:val="4"/>
              </w:numPr>
              <w:shd w:val="clear" w:color="auto" w:fill="auto"/>
              <w:tabs>
                <w:tab w:val="left" w:pos="326"/>
              </w:tabs>
              <w:spacing w:after="0" w:line="240" w:lineRule="auto"/>
              <w:jc w:val="both"/>
              <w:rPr>
                <w:rFonts w:ascii="Arial" w:hAnsi="Arial" w:cs="Arial"/>
                <w:sz w:val="18"/>
                <w:szCs w:val="18"/>
              </w:rPr>
            </w:pPr>
            <w:r>
              <w:rPr>
                <w:rFonts w:ascii="Arial" w:hAnsi="Arial" w:cs="Arial"/>
                <w:color w:val="000000"/>
                <w:sz w:val="18"/>
                <w:szCs w:val="18"/>
                <w:lang w:eastAsia="ru-RU" w:bidi="ru-RU"/>
              </w:rPr>
              <w:t>с</w:t>
            </w:r>
            <w:r w:rsidR="007D567B" w:rsidRPr="00463604">
              <w:rPr>
                <w:rFonts w:ascii="Arial" w:hAnsi="Arial" w:cs="Arial"/>
                <w:color w:val="000000"/>
                <w:sz w:val="18"/>
                <w:szCs w:val="18"/>
                <w:lang w:eastAsia="ru-RU" w:bidi="ru-RU"/>
              </w:rPr>
              <w:t>окращение практики нецелевого заимствования региональными бюджетами</w:t>
            </w:r>
            <w:r>
              <w:rPr>
                <w:rFonts w:ascii="Arial" w:hAnsi="Arial" w:cs="Arial"/>
                <w:color w:val="000000"/>
                <w:sz w:val="18"/>
                <w:szCs w:val="18"/>
                <w:lang w:eastAsia="ru-RU" w:bidi="ru-RU"/>
              </w:rPr>
              <w:t>.</w:t>
            </w:r>
          </w:p>
        </w:tc>
      </w:tr>
      <w:tr w:rsidR="002953B7" w:rsidRPr="00463604" w:rsidTr="00BD51AB">
        <w:trPr>
          <w:trHeight w:hRule="exact" w:val="533"/>
        </w:trPr>
        <w:tc>
          <w:tcPr>
            <w:tcW w:w="2669" w:type="dxa"/>
            <w:tcBorders>
              <w:top w:val="single" w:sz="4" w:space="0" w:color="auto"/>
              <w:left w:val="single" w:sz="4" w:space="0" w:color="auto"/>
              <w:bottom w:val="single" w:sz="4" w:space="0" w:color="auto"/>
            </w:tcBorders>
            <w:shd w:val="clear" w:color="auto" w:fill="FFFFFF"/>
            <w:vAlign w:val="center"/>
          </w:tcPr>
          <w:p w:rsidR="002953B7" w:rsidRPr="00463604" w:rsidRDefault="002953B7" w:rsidP="00BD51AB">
            <w:pPr>
              <w:pStyle w:val="2"/>
              <w:shd w:val="clear" w:color="auto" w:fill="auto"/>
              <w:spacing w:after="0" w:line="240" w:lineRule="auto"/>
              <w:jc w:val="left"/>
              <w:rPr>
                <w:rFonts w:ascii="Arial" w:hAnsi="Arial" w:cs="Arial"/>
                <w:sz w:val="18"/>
                <w:szCs w:val="18"/>
              </w:rPr>
            </w:pPr>
            <w:r w:rsidRPr="00463604">
              <w:rPr>
                <w:rStyle w:val="10pt0pt"/>
                <w:rFonts w:ascii="Arial" w:hAnsi="Arial" w:cs="Arial"/>
                <w:sz w:val="18"/>
                <w:szCs w:val="18"/>
              </w:rPr>
              <w:t>Социально-</w:t>
            </w:r>
          </w:p>
          <w:p w:rsidR="002953B7" w:rsidRPr="00463604" w:rsidRDefault="002953B7" w:rsidP="00BD51AB">
            <w:pPr>
              <w:pStyle w:val="2"/>
              <w:shd w:val="clear" w:color="auto" w:fill="auto"/>
              <w:spacing w:after="0" w:line="240" w:lineRule="auto"/>
              <w:jc w:val="left"/>
              <w:rPr>
                <w:rFonts w:ascii="Arial" w:hAnsi="Arial" w:cs="Arial"/>
                <w:sz w:val="18"/>
                <w:szCs w:val="18"/>
              </w:rPr>
            </w:pPr>
            <w:r w:rsidRPr="00463604">
              <w:rPr>
                <w:rStyle w:val="10pt0pt"/>
                <w:rFonts w:ascii="Arial" w:hAnsi="Arial" w:cs="Arial"/>
                <w:sz w:val="18"/>
                <w:szCs w:val="18"/>
              </w:rPr>
              <w:t>психологические</w:t>
            </w:r>
          </w:p>
        </w:tc>
        <w:tc>
          <w:tcPr>
            <w:tcW w:w="6980" w:type="dxa"/>
            <w:tcBorders>
              <w:top w:val="single" w:sz="4" w:space="0" w:color="auto"/>
              <w:left w:val="single" w:sz="4" w:space="0" w:color="auto"/>
              <w:bottom w:val="single" w:sz="4" w:space="0" w:color="auto"/>
              <w:right w:val="single" w:sz="4" w:space="0" w:color="auto"/>
            </w:tcBorders>
            <w:shd w:val="clear" w:color="auto" w:fill="FFFFFF"/>
            <w:vAlign w:val="center"/>
          </w:tcPr>
          <w:p w:rsidR="002953B7" w:rsidRPr="00463604" w:rsidRDefault="002953B7" w:rsidP="00BD51AB">
            <w:pPr>
              <w:pStyle w:val="2"/>
              <w:shd w:val="clear" w:color="auto" w:fill="auto"/>
              <w:spacing w:after="0" w:line="240" w:lineRule="auto"/>
              <w:jc w:val="left"/>
              <w:rPr>
                <w:rFonts w:ascii="Arial" w:hAnsi="Arial" w:cs="Arial"/>
                <w:sz w:val="18"/>
                <w:szCs w:val="18"/>
              </w:rPr>
            </w:pPr>
            <w:r w:rsidRPr="00463604">
              <w:rPr>
                <w:rStyle w:val="10pt0pt"/>
                <w:rFonts w:ascii="Arial" w:hAnsi="Arial" w:cs="Arial"/>
                <w:sz w:val="18"/>
                <w:szCs w:val="18"/>
              </w:rPr>
              <w:t>создание и поддержание имиджа территории как надежного заемщика</w:t>
            </w:r>
          </w:p>
        </w:tc>
      </w:tr>
    </w:tbl>
    <w:p w:rsidR="00372236" w:rsidRDefault="00372236" w:rsidP="00AC5A11">
      <w:pPr>
        <w:autoSpaceDE w:val="0"/>
        <w:autoSpaceDN w:val="0"/>
        <w:adjustRightInd w:val="0"/>
        <w:spacing w:after="0" w:line="360" w:lineRule="auto"/>
        <w:ind w:firstLine="709"/>
        <w:jc w:val="both"/>
        <w:rPr>
          <w:rFonts w:ascii="Times New Roman" w:eastAsia="ArialMT" w:hAnsi="Times New Roman" w:cs="Times New Roman"/>
          <w:sz w:val="24"/>
          <w:szCs w:val="28"/>
        </w:rPr>
      </w:pPr>
    </w:p>
    <w:p w:rsidR="00BD51AB" w:rsidRPr="00B67351" w:rsidRDefault="00BD51AB" w:rsidP="00B67351">
      <w:pPr>
        <w:pStyle w:val="2"/>
        <w:shd w:val="clear" w:color="auto" w:fill="auto"/>
        <w:spacing w:after="0" w:line="360" w:lineRule="auto"/>
        <w:ind w:firstLine="709"/>
        <w:jc w:val="both"/>
        <w:rPr>
          <w:sz w:val="25"/>
          <w:szCs w:val="25"/>
        </w:rPr>
      </w:pPr>
      <w:r w:rsidRPr="00B67351">
        <w:rPr>
          <w:sz w:val="25"/>
          <w:szCs w:val="25"/>
        </w:rPr>
        <w:t>Помимо этого нужно задействовать также меры по</w:t>
      </w:r>
      <w:r w:rsidR="00520B36">
        <w:rPr>
          <w:sz w:val="25"/>
          <w:szCs w:val="25"/>
        </w:rPr>
        <w:t xml:space="preserve"> </w:t>
      </w:r>
      <w:r w:rsidR="00520B36">
        <w:rPr>
          <w:color w:val="000000"/>
          <w:sz w:val="25"/>
          <w:szCs w:val="25"/>
          <w:lang w:eastAsia="ru-RU" w:bidi="ru-RU"/>
        </w:rPr>
        <w:t>[2, 3, 5]</w:t>
      </w:r>
      <w:r w:rsidRPr="00B67351">
        <w:rPr>
          <w:sz w:val="25"/>
          <w:szCs w:val="25"/>
        </w:rPr>
        <w:t>:</w:t>
      </w:r>
    </w:p>
    <w:p w:rsidR="00BD51AB" w:rsidRPr="00B67351" w:rsidRDefault="00BD51AB" w:rsidP="00B67351">
      <w:pPr>
        <w:pStyle w:val="2"/>
        <w:numPr>
          <w:ilvl w:val="0"/>
          <w:numId w:val="8"/>
        </w:numPr>
        <w:shd w:val="clear" w:color="auto" w:fill="auto"/>
        <w:spacing w:after="0" w:line="360" w:lineRule="auto"/>
        <w:ind w:firstLine="709"/>
        <w:jc w:val="both"/>
        <w:rPr>
          <w:sz w:val="25"/>
          <w:szCs w:val="25"/>
        </w:rPr>
      </w:pPr>
      <w:r w:rsidRPr="00B67351">
        <w:rPr>
          <w:sz w:val="25"/>
          <w:szCs w:val="25"/>
        </w:rPr>
        <w:t xml:space="preserve"> стимулированию темпов экономического развития, обеспечивающего рост доходных возможностей территории:</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использование резервов роста секторов экономики регионов (загрузка свободных мощностей в промышленности, сельского хозяйства, торговли, строительства, транспорта и связи);</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более полное и эффективное исп</w:t>
      </w:r>
      <w:r w:rsidR="00B67351" w:rsidRPr="00B67351">
        <w:rPr>
          <w:sz w:val="25"/>
          <w:szCs w:val="25"/>
        </w:rPr>
        <w:t>ользование ресурсной базы (зем</w:t>
      </w:r>
      <w:r w:rsidR="00870046" w:rsidRPr="00B67351">
        <w:rPr>
          <w:sz w:val="25"/>
          <w:szCs w:val="25"/>
        </w:rPr>
        <w:t>ельные</w:t>
      </w:r>
      <w:r w:rsidRPr="00B67351">
        <w:rPr>
          <w:sz w:val="25"/>
          <w:szCs w:val="25"/>
        </w:rPr>
        <w:t>, труд</w:t>
      </w:r>
      <w:r w:rsidR="00870046" w:rsidRPr="00B67351">
        <w:rPr>
          <w:sz w:val="25"/>
          <w:szCs w:val="25"/>
        </w:rPr>
        <w:t>овые и</w:t>
      </w:r>
      <w:r w:rsidRPr="00B67351">
        <w:rPr>
          <w:sz w:val="25"/>
          <w:szCs w:val="25"/>
        </w:rPr>
        <w:t xml:space="preserve"> лес</w:t>
      </w:r>
      <w:r w:rsidR="00870046" w:rsidRPr="00B67351">
        <w:rPr>
          <w:sz w:val="25"/>
          <w:szCs w:val="25"/>
        </w:rPr>
        <w:t>ные ресурсы</w:t>
      </w:r>
      <w:r w:rsidRPr="00B67351">
        <w:rPr>
          <w:sz w:val="25"/>
          <w:szCs w:val="25"/>
        </w:rPr>
        <w:t>);</w:t>
      </w:r>
    </w:p>
    <w:p w:rsidR="00BD51AB" w:rsidRPr="00B67351" w:rsidRDefault="00BD51AB" w:rsidP="00B67351">
      <w:pPr>
        <w:pStyle w:val="2"/>
        <w:shd w:val="clear" w:color="auto" w:fill="auto"/>
        <w:spacing w:after="0" w:line="360" w:lineRule="auto"/>
        <w:ind w:firstLine="709"/>
        <w:jc w:val="both"/>
        <w:rPr>
          <w:sz w:val="25"/>
          <w:szCs w:val="25"/>
        </w:rPr>
      </w:pPr>
      <w:r w:rsidRPr="00B67351">
        <w:rPr>
          <w:sz w:val="25"/>
          <w:szCs w:val="25"/>
        </w:rPr>
        <w:t xml:space="preserve">стимулирование и диверсификация экспорта; </w:t>
      </w:r>
      <w:proofErr w:type="spellStart"/>
      <w:r w:rsidRPr="00B67351">
        <w:rPr>
          <w:sz w:val="25"/>
          <w:szCs w:val="25"/>
        </w:rPr>
        <w:t>импортозамещение</w:t>
      </w:r>
      <w:proofErr w:type="spellEnd"/>
      <w:r w:rsidRPr="00B67351">
        <w:rPr>
          <w:sz w:val="25"/>
          <w:szCs w:val="25"/>
        </w:rPr>
        <w:t xml:space="preserve">, </w:t>
      </w:r>
      <w:proofErr w:type="spellStart"/>
      <w:r w:rsidRPr="00B67351">
        <w:rPr>
          <w:sz w:val="25"/>
          <w:szCs w:val="25"/>
        </w:rPr>
        <w:t>импортоопережение</w:t>
      </w:r>
      <w:proofErr w:type="spellEnd"/>
      <w:r w:rsidRPr="00B67351">
        <w:rPr>
          <w:sz w:val="25"/>
          <w:szCs w:val="25"/>
        </w:rPr>
        <w:t>;</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улучшение инвестиционного климата, привлечение средств федерального бюджета (в </w:t>
      </w:r>
      <w:proofErr w:type="spellStart"/>
      <w:r w:rsidRPr="00B67351">
        <w:rPr>
          <w:sz w:val="25"/>
          <w:szCs w:val="25"/>
        </w:rPr>
        <w:t>т.ч</w:t>
      </w:r>
      <w:proofErr w:type="spellEnd"/>
      <w:r w:rsidRPr="00B67351">
        <w:rPr>
          <w:sz w:val="25"/>
          <w:szCs w:val="25"/>
        </w:rPr>
        <w:t xml:space="preserve">. в рамках </w:t>
      </w:r>
      <w:r w:rsidR="00870046" w:rsidRPr="00B67351">
        <w:rPr>
          <w:sz w:val="25"/>
          <w:szCs w:val="25"/>
        </w:rPr>
        <w:t>софинансирование общегосударственных проектов),</w:t>
      </w:r>
      <w:r w:rsidRPr="00B67351">
        <w:rPr>
          <w:sz w:val="25"/>
          <w:szCs w:val="25"/>
        </w:rPr>
        <w:t xml:space="preserve"> </w:t>
      </w:r>
      <w:r w:rsidR="00870046" w:rsidRPr="00B67351">
        <w:rPr>
          <w:sz w:val="25"/>
          <w:szCs w:val="25"/>
        </w:rPr>
        <w:t>развитие механизма государственно-частного партнерства</w:t>
      </w:r>
      <w:r w:rsidRPr="00B67351">
        <w:rPr>
          <w:sz w:val="25"/>
          <w:szCs w:val="25"/>
        </w:rPr>
        <w:t>;</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повышение прибыльности организаций за счет освоения инноваций;</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снижение стоимости фондирования для банков и кредитов для заемщиков;</w:t>
      </w:r>
    </w:p>
    <w:p w:rsidR="00BD51AB" w:rsidRPr="00B67351" w:rsidRDefault="00BD51AB" w:rsidP="00B67351">
      <w:pPr>
        <w:pStyle w:val="2"/>
        <w:numPr>
          <w:ilvl w:val="0"/>
          <w:numId w:val="8"/>
        </w:numPr>
        <w:shd w:val="clear" w:color="auto" w:fill="auto"/>
        <w:tabs>
          <w:tab w:val="left" w:pos="1354"/>
        </w:tabs>
        <w:spacing w:after="0" w:line="360" w:lineRule="auto"/>
        <w:ind w:firstLine="709"/>
        <w:jc w:val="both"/>
        <w:rPr>
          <w:sz w:val="25"/>
          <w:szCs w:val="25"/>
        </w:rPr>
      </w:pPr>
      <w:r w:rsidRPr="00B67351">
        <w:rPr>
          <w:sz w:val="25"/>
          <w:szCs w:val="25"/>
        </w:rPr>
        <w:t>снижению дефицита бюджета за счет:</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своевременной адаптации объема расходов уровню доходов;</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использования резервов получения дополнительных налоговых и неналоговых поступлений;</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непринятия новых длящихся расходных обязательств;</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повышения качества бюджетного планирования и прогнозирования;</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составления проектов бюджетов, исходя из консервативной оценки;</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lastRenderedPageBreak/>
        <w:t xml:space="preserve"> введения моратория на передачу на субфедеральный уровень новых расходных обязательств;</w:t>
      </w:r>
    </w:p>
    <w:p w:rsidR="00BD51AB" w:rsidRPr="00B67351" w:rsidRDefault="00BD51AB" w:rsidP="00B67351">
      <w:pPr>
        <w:pStyle w:val="2"/>
        <w:numPr>
          <w:ilvl w:val="0"/>
          <w:numId w:val="6"/>
        </w:numPr>
        <w:shd w:val="clear" w:color="auto" w:fill="auto"/>
        <w:spacing w:after="0" w:line="360" w:lineRule="auto"/>
        <w:ind w:firstLine="709"/>
        <w:jc w:val="both"/>
        <w:rPr>
          <w:sz w:val="25"/>
          <w:szCs w:val="25"/>
        </w:rPr>
      </w:pPr>
      <w:r w:rsidRPr="00B67351">
        <w:rPr>
          <w:sz w:val="25"/>
          <w:szCs w:val="25"/>
        </w:rPr>
        <w:t xml:space="preserve"> обеспечение полного финансирования ранее переданных полномочий.</w:t>
      </w:r>
    </w:p>
    <w:p w:rsidR="00BD51AB" w:rsidRPr="00B67351" w:rsidRDefault="00870046" w:rsidP="00B67351">
      <w:pPr>
        <w:autoSpaceDE w:val="0"/>
        <w:autoSpaceDN w:val="0"/>
        <w:adjustRightInd w:val="0"/>
        <w:spacing w:after="0" w:line="360" w:lineRule="auto"/>
        <w:ind w:firstLine="709"/>
        <w:jc w:val="both"/>
        <w:rPr>
          <w:rFonts w:ascii="Times New Roman" w:eastAsia="ArialMT" w:hAnsi="Times New Roman" w:cs="Times New Roman"/>
          <w:sz w:val="25"/>
          <w:szCs w:val="25"/>
        </w:rPr>
      </w:pPr>
      <w:r w:rsidRPr="00B67351">
        <w:rPr>
          <w:rFonts w:ascii="Times New Roman" w:eastAsia="ArialMT" w:hAnsi="Times New Roman" w:cs="Times New Roman"/>
          <w:sz w:val="25"/>
          <w:szCs w:val="25"/>
        </w:rPr>
        <w:t>Решение проблемы долговой устойчивости будет способствовать</w:t>
      </w:r>
      <w:r w:rsidR="00A46799">
        <w:rPr>
          <w:rFonts w:ascii="Times New Roman" w:eastAsia="ArialMT" w:hAnsi="Times New Roman" w:cs="Times New Roman"/>
          <w:sz w:val="25"/>
          <w:szCs w:val="25"/>
        </w:rPr>
        <w:t>,</w:t>
      </w:r>
      <w:r w:rsidRPr="00B67351">
        <w:rPr>
          <w:rFonts w:ascii="Times New Roman" w:eastAsia="ArialMT" w:hAnsi="Times New Roman" w:cs="Times New Roman"/>
          <w:sz w:val="25"/>
          <w:szCs w:val="25"/>
        </w:rPr>
        <w:t xml:space="preserve"> в конечном итоге</w:t>
      </w:r>
      <w:r w:rsidR="00A46799">
        <w:rPr>
          <w:rFonts w:ascii="Times New Roman" w:eastAsia="ArialMT" w:hAnsi="Times New Roman" w:cs="Times New Roman"/>
          <w:sz w:val="25"/>
          <w:szCs w:val="25"/>
        </w:rPr>
        <w:t>,</w:t>
      </w:r>
      <w:r w:rsidRPr="00B67351">
        <w:rPr>
          <w:rFonts w:ascii="Times New Roman" w:eastAsia="ArialMT" w:hAnsi="Times New Roman" w:cs="Times New Roman"/>
          <w:sz w:val="25"/>
          <w:szCs w:val="25"/>
        </w:rPr>
        <w:t xml:space="preserve"> обе</w:t>
      </w:r>
      <w:bookmarkStart w:id="0" w:name="_GoBack"/>
      <w:bookmarkEnd w:id="0"/>
      <w:r w:rsidRPr="00B67351">
        <w:rPr>
          <w:rFonts w:ascii="Times New Roman" w:eastAsia="ArialMT" w:hAnsi="Times New Roman" w:cs="Times New Roman"/>
          <w:sz w:val="25"/>
          <w:szCs w:val="25"/>
        </w:rPr>
        <w:t>спечению общей стабилизации государственных финансов регионов как одного из основных источников устойчивого социально-экономического развития.</w:t>
      </w:r>
    </w:p>
    <w:p w:rsidR="00870046" w:rsidRPr="00B67351" w:rsidRDefault="00870046" w:rsidP="00B67351">
      <w:pPr>
        <w:pStyle w:val="21"/>
        <w:shd w:val="clear" w:color="auto" w:fill="auto"/>
        <w:spacing w:after="0" w:line="360" w:lineRule="auto"/>
        <w:ind w:firstLine="0"/>
        <w:jc w:val="both"/>
        <w:rPr>
          <w:b w:val="0"/>
          <w:sz w:val="25"/>
          <w:szCs w:val="25"/>
        </w:rPr>
      </w:pPr>
    </w:p>
    <w:p w:rsidR="002E3BE5" w:rsidRPr="00B67351" w:rsidRDefault="00372236" w:rsidP="00B67351">
      <w:pPr>
        <w:pStyle w:val="21"/>
        <w:shd w:val="clear" w:color="auto" w:fill="auto"/>
        <w:spacing w:after="0" w:line="360" w:lineRule="auto"/>
        <w:ind w:firstLine="0"/>
        <w:jc w:val="center"/>
        <w:rPr>
          <w:b w:val="0"/>
          <w:sz w:val="25"/>
          <w:szCs w:val="25"/>
        </w:rPr>
      </w:pPr>
      <w:r w:rsidRPr="00B67351">
        <w:rPr>
          <w:b w:val="0"/>
          <w:sz w:val="25"/>
          <w:szCs w:val="25"/>
        </w:rPr>
        <w:t>Список использованных источников</w:t>
      </w:r>
    </w:p>
    <w:p w:rsidR="0036131F" w:rsidRPr="00B67351" w:rsidRDefault="0036131F" w:rsidP="00B67351">
      <w:pPr>
        <w:pStyle w:val="af5"/>
        <w:widowControl w:val="0"/>
        <w:numPr>
          <w:ilvl w:val="0"/>
          <w:numId w:val="10"/>
        </w:numPr>
        <w:spacing w:after="0" w:line="360" w:lineRule="auto"/>
        <w:ind w:left="0" w:firstLine="709"/>
        <w:jc w:val="both"/>
        <w:rPr>
          <w:rFonts w:ascii="Times New Roman" w:hAnsi="Times New Roman" w:cs="Times New Roman"/>
          <w:sz w:val="25"/>
          <w:szCs w:val="25"/>
        </w:rPr>
      </w:pPr>
      <w:proofErr w:type="spellStart"/>
      <w:r w:rsidRPr="00B67351">
        <w:rPr>
          <w:rFonts w:ascii="Times New Roman" w:hAnsi="Times New Roman" w:cs="Times New Roman"/>
          <w:sz w:val="25"/>
          <w:szCs w:val="25"/>
        </w:rPr>
        <w:t>Балынин</w:t>
      </w:r>
      <w:proofErr w:type="spellEnd"/>
      <w:r w:rsidRPr="00B67351">
        <w:rPr>
          <w:rFonts w:ascii="Times New Roman" w:hAnsi="Times New Roman" w:cs="Times New Roman"/>
          <w:sz w:val="25"/>
          <w:szCs w:val="25"/>
        </w:rPr>
        <w:t xml:space="preserve">, И.В. Комплексный анализ долговой политики в рамках рейтинговой оценки субъектов Российской Федерации по уровню риска несбалансированности региональных бюджетов </w:t>
      </w:r>
      <w:r w:rsidR="00C76837" w:rsidRPr="00B67351">
        <w:rPr>
          <w:sz w:val="25"/>
          <w:szCs w:val="25"/>
        </w:rPr>
        <w:t xml:space="preserve">[Текст] </w:t>
      </w:r>
      <w:r w:rsidRPr="00B67351">
        <w:rPr>
          <w:rFonts w:ascii="Times New Roman" w:hAnsi="Times New Roman" w:cs="Times New Roman"/>
          <w:sz w:val="25"/>
          <w:szCs w:val="25"/>
        </w:rPr>
        <w:t xml:space="preserve">/ И.В. </w:t>
      </w:r>
      <w:proofErr w:type="spellStart"/>
      <w:r w:rsidRPr="00B67351">
        <w:rPr>
          <w:rFonts w:ascii="Times New Roman" w:hAnsi="Times New Roman" w:cs="Times New Roman"/>
          <w:sz w:val="25"/>
          <w:szCs w:val="25"/>
        </w:rPr>
        <w:t>Балынин</w:t>
      </w:r>
      <w:proofErr w:type="spellEnd"/>
      <w:r w:rsidRPr="00B67351">
        <w:rPr>
          <w:rFonts w:ascii="Times New Roman" w:hAnsi="Times New Roman" w:cs="Times New Roman"/>
          <w:sz w:val="25"/>
          <w:szCs w:val="25"/>
        </w:rPr>
        <w:t xml:space="preserve"> // Экономика и предпринимательство. – 2014. - №5. – С. 217-222.</w:t>
      </w:r>
    </w:p>
    <w:p w:rsidR="00372236" w:rsidRPr="00B67351" w:rsidRDefault="00372236" w:rsidP="00B67351">
      <w:pPr>
        <w:widowControl w:val="0"/>
        <w:numPr>
          <w:ilvl w:val="0"/>
          <w:numId w:val="10"/>
        </w:numPr>
        <w:spacing w:after="0" w:line="360" w:lineRule="auto"/>
        <w:ind w:firstLine="709"/>
        <w:jc w:val="both"/>
        <w:rPr>
          <w:rFonts w:ascii="Times New Roman" w:hAnsi="Times New Roman" w:cs="Times New Roman"/>
          <w:sz w:val="25"/>
          <w:szCs w:val="25"/>
        </w:rPr>
      </w:pPr>
      <w:r w:rsidRPr="00B67351">
        <w:rPr>
          <w:rFonts w:ascii="Times New Roman" w:hAnsi="Times New Roman" w:cs="Times New Roman"/>
          <w:sz w:val="25"/>
          <w:szCs w:val="25"/>
        </w:rPr>
        <w:t>Галухин, А.В. Оценка долговой устойчивости бюджетов субъектов федерации [Электронный ресурс] / А.В. Галухин // Вопросы территориального развития. – 2016. – № 5. – Режим доступа: http://vtr.vscc.ac.ru/article/2041</w:t>
      </w:r>
    </w:p>
    <w:p w:rsidR="0036131F" w:rsidRPr="00B67351" w:rsidRDefault="0036131F" w:rsidP="00B67351">
      <w:pPr>
        <w:pStyle w:val="2"/>
        <w:numPr>
          <w:ilvl w:val="0"/>
          <w:numId w:val="10"/>
        </w:numPr>
        <w:shd w:val="clear" w:color="auto" w:fill="auto"/>
        <w:tabs>
          <w:tab w:val="left" w:pos="1354"/>
        </w:tabs>
        <w:spacing w:after="0" w:line="360" w:lineRule="auto"/>
        <w:ind w:firstLine="709"/>
        <w:jc w:val="both"/>
        <w:rPr>
          <w:sz w:val="25"/>
          <w:szCs w:val="25"/>
        </w:rPr>
      </w:pPr>
      <w:r w:rsidRPr="00B67351">
        <w:rPr>
          <w:sz w:val="25"/>
          <w:szCs w:val="25"/>
        </w:rPr>
        <w:t>Ильин, В.А. Эффективность государственного управления. 2000-2015. Противоречивые итоги - закономерный результат [Текст] : монография / В.А. Ильин, А.И. Поварова. - Вологда: ИСЭРТ РАН, 2016. - 304 с.</w:t>
      </w:r>
    </w:p>
    <w:p w:rsidR="0036131F" w:rsidRPr="00B67351" w:rsidRDefault="0036131F" w:rsidP="00B67351">
      <w:pPr>
        <w:pStyle w:val="2"/>
        <w:numPr>
          <w:ilvl w:val="0"/>
          <w:numId w:val="10"/>
        </w:numPr>
        <w:shd w:val="clear" w:color="auto" w:fill="auto"/>
        <w:tabs>
          <w:tab w:val="left" w:pos="1354"/>
        </w:tabs>
        <w:spacing w:after="0" w:line="360" w:lineRule="auto"/>
        <w:ind w:firstLine="709"/>
        <w:jc w:val="both"/>
        <w:rPr>
          <w:sz w:val="25"/>
          <w:szCs w:val="25"/>
        </w:rPr>
      </w:pPr>
      <w:proofErr w:type="spellStart"/>
      <w:r w:rsidRPr="00B67351">
        <w:rPr>
          <w:sz w:val="25"/>
          <w:szCs w:val="25"/>
        </w:rPr>
        <w:t>Кадзаева</w:t>
      </w:r>
      <w:proofErr w:type="spellEnd"/>
      <w:r w:rsidRPr="00B67351">
        <w:rPr>
          <w:sz w:val="25"/>
          <w:szCs w:val="25"/>
        </w:rPr>
        <w:t xml:space="preserve">, И.Т. Долговая политика бюджета региона и ее изменения [Текст] / И.Т. </w:t>
      </w:r>
      <w:proofErr w:type="spellStart"/>
      <w:r w:rsidRPr="00B67351">
        <w:rPr>
          <w:sz w:val="25"/>
          <w:szCs w:val="25"/>
        </w:rPr>
        <w:t>Кадзаева</w:t>
      </w:r>
      <w:proofErr w:type="spellEnd"/>
      <w:r w:rsidRPr="00B67351">
        <w:rPr>
          <w:sz w:val="25"/>
          <w:szCs w:val="25"/>
        </w:rPr>
        <w:t xml:space="preserve"> // </w:t>
      </w:r>
      <w:r w:rsidRPr="00B67351">
        <w:rPr>
          <w:sz w:val="25"/>
          <w:szCs w:val="25"/>
          <w:lang w:val="en-US" w:bidi="en-US"/>
        </w:rPr>
        <w:t>Terra</w:t>
      </w:r>
      <w:r w:rsidRPr="00B67351">
        <w:rPr>
          <w:sz w:val="25"/>
          <w:szCs w:val="25"/>
          <w:lang w:bidi="en-US"/>
        </w:rPr>
        <w:t xml:space="preserve"> </w:t>
      </w:r>
      <w:proofErr w:type="spellStart"/>
      <w:r w:rsidRPr="00B67351">
        <w:rPr>
          <w:sz w:val="25"/>
          <w:szCs w:val="25"/>
          <w:lang w:val="en-US" w:bidi="en-US"/>
        </w:rPr>
        <w:t>Economicus</w:t>
      </w:r>
      <w:proofErr w:type="spellEnd"/>
      <w:r w:rsidRPr="00B67351">
        <w:rPr>
          <w:sz w:val="25"/>
          <w:szCs w:val="25"/>
          <w:lang w:bidi="en-US"/>
        </w:rPr>
        <w:t xml:space="preserve">. </w:t>
      </w:r>
      <w:r w:rsidRPr="00B67351">
        <w:rPr>
          <w:sz w:val="25"/>
          <w:szCs w:val="25"/>
        </w:rPr>
        <w:t>- 2012.</w:t>
      </w:r>
      <w:r w:rsidRPr="00B67351">
        <w:rPr>
          <w:sz w:val="25"/>
          <w:szCs w:val="25"/>
        </w:rPr>
        <w:tab/>
        <w:t>- № 2. - С. 158-160.</w:t>
      </w:r>
    </w:p>
    <w:p w:rsidR="0036131F" w:rsidRPr="00B67351" w:rsidRDefault="0036131F" w:rsidP="00B67351">
      <w:pPr>
        <w:pStyle w:val="2"/>
        <w:numPr>
          <w:ilvl w:val="0"/>
          <w:numId w:val="10"/>
        </w:numPr>
        <w:shd w:val="clear" w:color="auto" w:fill="auto"/>
        <w:tabs>
          <w:tab w:val="left" w:pos="1354"/>
        </w:tabs>
        <w:spacing w:after="0" w:line="360" w:lineRule="auto"/>
        <w:ind w:firstLine="709"/>
        <w:jc w:val="both"/>
        <w:rPr>
          <w:sz w:val="25"/>
          <w:szCs w:val="25"/>
        </w:rPr>
      </w:pPr>
      <w:r w:rsidRPr="00B67351">
        <w:rPr>
          <w:sz w:val="25"/>
          <w:szCs w:val="25"/>
        </w:rPr>
        <w:t xml:space="preserve">Проблемы экономического роста территории [Текст]: монография / Т.В. Ускова, Е.В. Лукин, Т.В. Воронцова, Т.Г. Смирнова; под рук. Т.В. </w:t>
      </w:r>
      <w:proofErr w:type="spellStart"/>
      <w:r w:rsidRPr="00B67351">
        <w:rPr>
          <w:sz w:val="25"/>
          <w:szCs w:val="25"/>
        </w:rPr>
        <w:t>Усковой</w:t>
      </w:r>
      <w:proofErr w:type="spellEnd"/>
      <w:r w:rsidRPr="00B67351">
        <w:rPr>
          <w:sz w:val="25"/>
          <w:szCs w:val="25"/>
        </w:rPr>
        <w:t>. - Вологда: Ин-т социально-экономического развития территорий РАН, 2013. - 170 с.</w:t>
      </w:r>
    </w:p>
    <w:p w:rsidR="0036131F" w:rsidRPr="00B67351" w:rsidRDefault="0036131F" w:rsidP="00B67351">
      <w:pPr>
        <w:pStyle w:val="2"/>
        <w:numPr>
          <w:ilvl w:val="0"/>
          <w:numId w:val="10"/>
        </w:numPr>
        <w:shd w:val="clear" w:color="auto" w:fill="auto"/>
        <w:tabs>
          <w:tab w:val="left" w:pos="1354"/>
        </w:tabs>
        <w:spacing w:after="0" w:line="360" w:lineRule="auto"/>
        <w:ind w:firstLine="709"/>
        <w:jc w:val="both"/>
        <w:rPr>
          <w:sz w:val="25"/>
          <w:szCs w:val="25"/>
        </w:rPr>
      </w:pPr>
      <w:r w:rsidRPr="00B67351">
        <w:rPr>
          <w:sz w:val="25"/>
          <w:szCs w:val="25"/>
        </w:rPr>
        <w:t xml:space="preserve">Солдаткин, С.Н. Влияние долговой политики органов власти субъектов Российской Федерации на устойчивость территориальной финансовой системы [Текст] / С.Н. Солдаткин // </w:t>
      </w:r>
      <w:proofErr w:type="spellStart"/>
      <w:r w:rsidRPr="00B67351">
        <w:rPr>
          <w:sz w:val="25"/>
          <w:szCs w:val="25"/>
        </w:rPr>
        <w:t>Гуманизация</w:t>
      </w:r>
      <w:proofErr w:type="spellEnd"/>
      <w:r w:rsidRPr="00B67351">
        <w:rPr>
          <w:sz w:val="25"/>
          <w:szCs w:val="25"/>
        </w:rPr>
        <w:t xml:space="preserve"> образования. - 2014. - №3. - С. 47-55.</w:t>
      </w:r>
    </w:p>
    <w:p w:rsidR="002E3BE5" w:rsidRPr="00B67351" w:rsidRDefault="0036131F" w:rsidP="00B67351">
      <w:pPr>
        <w:pStyle w:val="2"/>
        <w:numPr>
          <w:ilvl w:val="0"/>
          <w:numId w:val="10"/>
        </w:numPr>
        <w:shd w:val="clear" w:color="auto" w:fill="auto"/>
        <w:tabs>
          <w:tab w:val="left" w:pos="1354"/>
        </w:tabs>
        <w:spacing w:after="0" w:line="360" w:lineRule="auto"/>
        <w:ind w:firstLine="709"/>
        <w:jc w:val="both"/>
        <w:rPr>
          <w:sz w:val="25"/>
          <w:szCs w:val="25"/>
          <w:lang w:val="en-US"/>
        </w:rPr>
      </w:pPr>
      <w:r w:rsidRPr="00B67351">
        <w:rPr>
          <w:sz w:val="25"/>
          <w:szCs w:val="25"/>
          <w:lang w:val="en-US" w:bidi="en-US"/>
        </w:rPr>
        <w:t xml:space="preserve">Marshall </w:t>
      </w:r>
      <w:r w:rsidRPr="00B67351">
        <w:rPr>
          <w:sz w:val="25"/>
          <w:szCs w:val="25"/>
        </w:rPr>
        <w:t>Т</w:t>
      </w:r>
      <w:r w:rsidRPr="00B67351">
        <w:rPr>
          <w:sz w:val="25"/>
          <w:szCs w:val="25"/>
          <w:lang w:val="en-US"/>
        </w:rPr>
        <w:t xml:space="preserve">. </w:t>
      </w:r>
      <w:r w:rsidRPr="00B67351">
        <w:rPr>
          <w:sz w:val="25"/>
          <w:szCs w:val="25"/>
          <w:lang w:val="en-US" w:bidi="en-US"/>
        </w:rPr>
        <w:t xml:space="preserve">Bond market bites back. </w:t>
      </w:r>
      <w:proofErr w:type="spellStart"/>
      <w:r w:rsidRPr="00B67351">
        <w:rPr>
          <w:sz w:val="25"/>
          <w:szCs w:val="25"/>
          <w:lang w:val="en-US" w:bidi="en-US"/>
        </w:rPr>
        <w:t>Euromoney</w:t>
      </w:r>
      <w:proofErr w:type="spellEnd"/>
      <w:r w:rsidRPr="00B67351">
        <w:rPr>
          <w:sz w:val="25"/>
          <w:szCs w:val="25"/>
          <w:lang w:val="en-US" w:bidi="en-US"/>
        </w:rPr>
        <w:t>. Dec. 2002. Vol.33, Issue</w:t>
      </w:r>
    </w:p>
    <w:p w:rsidR="00C76837" w:rsidRPr="00B67351" w:rsidRDefault="00C76837" w:rsidP="00B67351">
      <w:pPr>
        <w:spacing w:after="0" w:line="360" w:lineRule="auto"/>
        <w:rPr>
          <w:rFonts w:ascii="Times New Roman" w:eastAsia="Times New Roman" w:hAnsi="Times New Roman" w:cs="Times New Roman"/>
          <w:spacing w:val="-1"/>
          <w:sz w:val="25"/>
          <w:szCs w:val="25"/>
          <w:lang w:bidi="en-US"/>
        </w:rPr>
      </w:pPr>
    </w:p>
    <w:p w:rsidR="00B67351" w:rsidRDefault="00B67351">
      <w:pPr>
        <w:rPr>
          <w:rFonts w:ascii="Times New Roman" w:eastAsia="Times New Roman" w:hAnsi="Times New Roman" w:cs="Times New Roman"/>
          <w:spacing w:val="-1"/>
          <w:sz w:val="25"/>
          <w:szCs w:val="25"/>
          <w:lang w:bidi="en-US"/>
        </w:rPr>
      </w:pPr>
      <w:r>
        <w:rPr>
          <w:sz w:val="25"/>
          <w:szCs w:val="25"/>
          <w:lang w:bidi="en-US"/>
        </w:rPr>
        <w:br w:type="page"/>
      </w:r>
    </w:p>
    <w:p w:rsidR="00372236" w:rsidRPr="00B67351" w:rsidRDefault="00372236" w:rsidP="00B67351">
      <w:pPr>
        <w:pStyle w:val="2"/>
        <w:shd w:val="clear" w:color="auto" w:fill="auto"/>
        <w:tabs>
          <w:tab w:val="left" w:pos="1354"/>
        </w:tabs>
        <w:spacing w:after="0" w:line="360" w:lineRule="auto"/>
        <w:rPr>
          <w:sz w:val="25"/>
          <w:szCs w:val="25"/>
          <w:lang w:bidi="en-US"/>
        </w:rPr>
      </w:pPr>
      <w:r w:rsidRPr="00B67351">
        <w:rPr>
          <w:sz w:val="25"/>
          <w:szCs w:val="25"/>
          <w:lang w:bidi="en-US"/>
        </w:rPr>
        <w:lastRenderedPageBreak/>
        <w:t>И</w:t>
      </w:r>
      <w:r w:rsidR="00C76837" w:rsidRPr="00B67351">
        <w:rPr>
          <w:sz w:val="25"/>
          <w:szCs w:val="25"/>
          <w:lang w:bidi="en-US"/>
        </w:rPr>
        <w:t>н</w:t>
      </w:r>
      <w:r w:rsidRPr="00B67351">
        <w:rPr>
          <w:sz w:val="25"/>
          <w:szCs w:val="25"/>
          <w:lang w:bidi="en-US"/>
        </w:rPr>
        <w:t>формация об авторе</w:t>
      </w:r>
      <w:r w:rsidR="00C76837" w:rsidRPr="00B67351">
        <w:rPr>
          <w:sz w:val="25"/>
          <w:szCs w:val="25"/>
          <w:lang w:bidi="en-US"/>
        </w:rPr>
        <w:t>.</w:t>
      </w:r>
    </w:p>
    <w:p w:rsidR="00C76837" w:rsidRPr="00B67351" w:rsidRDefault="00372236" w:rsidP="00B67351">
      <w:pPr>
        <w:pStyle w:val="4"/>
        <w:shd w:val="clear" w:color="auto" w:fill="FFFFFF"/>
        <w:spacing w:before="0" w:beforeAutospacing="0" w:after="0" w:afterAutospacing="0" w:line="360" w:lineRule="auto"/>
        <w:ind w:firstLine="709"/>
        <w:jc w:val="both"/>
        <w:rPr>
          <w:b w:val="0"/>
          <w:bCs w:val="0"/>
          <w:color w:val="000000"/>
          <w:sz w:val="25"/>
          <w:szCs w:val="25"/>
        </w:rPr>
      </w:pPr>
      <w:r w:rsidRPr="00B67351">
        <w:rPr>
          <w:b w:val="0"/>
          <w:sz w:val="25"/>
          <w:szCs w:val="25"/>
          <w:lang w:bidi="en-US"/>
        </w:rPr>
        <w:t xml:space="preserve">Галухин Антон </w:t>
      </w:r>
      <w:r w:rsidR="00C76837" w:rsidRPr="00B67351">
        <w:rPr>
          <w:b w:val="0"/>
          <w:sz w:val="25"/>
          <w:szCs w:val="25"/>
          <w:lang w:bidi="en-US"/>
        </w:rPr>
        <w:t xml:space="preserve">Викторович – младший научный сотрудник, Институт социально-экономического развития территорий РАН, 160014 г. Вологда, ул. Горького, д. 56а, </w:t>
      </w:r>
      <w:r w:rsidR="00C76837" w:rsidRPr="00B67351">
        <w:rPr>
          <w:b w:val="0"/>
          <w:sz w:val="25"/>
          <w:szCs w:val="25"/>
          <w:lang w:val="en-US" w:bidi="en-US"/>
        </w:rPr>
        <w:t>e</w:t>
      </w:r>
      <w:r w:rsidR="00C76837" w:rsidRPr="00B67351">
        <w:rPr>
          <w:b w:val="0"/>
          <w:sz w:val="25"/>
          <w:szCs w:val="25"/>
          <w:lang w:bidi="en-US"/>
        </w:rPr>
        <w:t>-</w:t>
      </w:r>
      <w:r w:rsidR="00C76837" w:rsidRPr="00B67351">
        <w:rPr>
          <w:b w:val="0"/>
          <w:sz w:val="25"/>
          <w:szCs w:val="25"/>
          <w:lang w:val="en-US" w:bidi="en-US"/>
        </w:rPr>
        <w:t>mail</w:t>
      </w:r>
      <w:r w:rsidR="00C76837" w:rsidRPr="00B67351">
        <w:rPr>
          <w:b w:val="0"/>
          <w:sz w:val="25"/>
          <w:szCs w:val="25"/>
          <w:lang w:bidi="en-US"/>
        </w:rPr>
        <w:t xml:space="preserve">: </w:t>
      </w:r>
      <w:r w:rsidR="00C76837" w:rsidRPr="00B67351">
        <w:rPr>
          <w:b w:val="0"/>
          <w:bCs w:val="0"/>
          <w:color w:val="000000"/>
          <w:sz w:val="25"/>
          <w:szCs w:val="25"/>
        </w:rPr>
        <w:t>common@vscc.ac.ru</w:t>
      </w:r>
    </w:p>
    <w:p w:rsidR="00372236" w:rsidRPr="00B67351" w:rsidRDefault="00372236" w:rsidP="00B67351">
      <w:pPr>
        <w:pStyle w:val="2"/>
        <w:shd w:val="clear" w:color="auto" w:fill="auto"/>
        <w:tabs>
          <w:tab w:val="left" w:pos="1354"/>
        </w:tabs>
        <w:spacing w:after="0" w:line="360" w:lineRule="auto"/>
        <w:jc w:val="both"/>
        <w:rPr>
          <w:sz w:val="25"/>
          <w:szCs w:val="25"/>
        </w:rPr>
      </w:pPr>
    </w:p>
    <w:p w:rsidR="00C76837" w:rsidRPr="00B67351" w:rsidRDefault="00C76837" w:rsidP="00B67351">
      <w:pPr>
        <w:pStyle w:val="2"/>
        <w:shd w:val="clear" w:color="auto" w:fill="auto"/>
        <w:tabs>
          <w:tab w:val="left" w:pos="1354"/>
        </w:tabs>
        <w:spacing w:after="0" w:line="360" w:lineRule="auto"/>
        <w:jc w:val="right"/>
        <w:rPr>
          <w:b/>
          <w:sz w:val="25"/>
          <w:szCs w:val="25"/>
        </w:rPr>
      </w:pPr>
      <w:proofErr w:type="spellStart"/>
      <w:r w:rsidRPr="00B67351">
        <w:rPr>
          <w:b/>
          <w:sz w:val="25"/>
          <w:szCs w:val="25"/>
          <w:lang w:val="en-US"/>
        </w:rPr>
        <w:t>Galukhin</w:t>
      </w:r>
      <w:proofErr w:type="spellEnd"/>
      <w:r w:rsidRPr="00B67351">
        <w:rPr>
          <w:b/>
          <w:sz w:val="25"/>
          <w:szCs w:val="25"/>
        </w:rPr>
        <w:t xml:space="preserve"> </w:t>
      </w:r>
      <w:r w:rsidRPr="00B67351">
        <w:rPr>
          <w:b/>
          <w:sz w:val="25"/>
          <w:szCs w:val="25"/>
          <w:lang w:val="en-US"/>
        </w:rPr>
        <w:t>A</w:t>
      </w:r>
      <w:r w:rsidRPr="00B67351">
        <w:rPr>
          <w:b/>
          <w:sz w:val="25"/>
          <w:szCs w:val="25"/>
        </w:rPr>
        <w:t>.</w:t>
      </w:r>
      <w:r w:rsidRPr="00B67351">
        <w:rPr>
          <w:b/>
          <w:sz w:val="25"/>
          <w:szCs w:val="25"/>
          <w:lang w:val="en-US"/>
        </w:rPr>
        <w:t>V</w:t>
      </w:r>
      <w:r w:rsidRPr="00B67351">
        <w:rPr>
          <w:b/>
          <w:sz w:val="25"/>
          <w:szCs w:val="25"/>
        </w:rPr>
        <w:t>.</w:t>
      </w:r>
    </w:p>
    <w:p w:rsidR="00C76837" w:rsidRPr="00B67351" w:rsidRDefault="00C76837" w:rsidP="00B67351">
      <w:pPr>
        <w:pStyle w:val="2"/>
        <w:tabs>
          <w:tab w:val="left" w:pos="1354"/>
        </w:tabs>
        <w:spacing w:after="0" w:line="360" w:lineRule="auto"/>
        <w:rPr>
          <w:b/>
          <w:sz w:val="25"/>
          <w:szCs w:val="25"/>
          <w:lang w:val="en-US"/>
        </w:rPr>
      </w:pPr>
      <w:r w:rsidRPr="00B67351">
        <w:rPr>
          <w:b/>
          <w:sz w:val="25"/>
          <w:szCs w:val="25"/>
          <w:lang w:val="en-US"/>
        </w:rPr>
        <w:t>CLUSTER ANALYSIS OF DEBT SUSTAINABILITY OF REGIONS OF THE RUSSIAN FEDERATION</w:t>
      </w:r>
    </w:p>
    <w:p w:rsidR="00C76837" w:rsidRPr="00B67351" w:rsidRDefault="00C76837" w:rsidP="00B67351">
      <w:pPr>
        <w:pStyle w:val="2"/>
        <w:tabs>
          <w:tab w:val="left" w:pos="1354"/>
        </w:tabs>
        <w:spacing w:after="0" w:line="360" w:lineRule="auto"/>
        <w:ind w:firstLine="709"/>
        <w:jc w:val="both"/>
        <w:rPr>
          <w:i/>
          <w:sz w:val="25"/>
          <w:szCs w:val="25"/>
          <w:lang w:val="en-US"/>
        </w:rPr>
      </w:pPr>
      <w:r w:rsidRPr="00B67351">
        <w:rPr>
          <w:i/>
          <w:sz w:val="25"/>
          <w:szCs w:val="25"/>
          <w:lang w:val="en-US"/>
        </w:rPr>
        <w:t xml:space="preserve">In clause the cluster analysis of distribution of regions on groups of debt sustainability is carried out. Using the </w:t>
      </w:r>
      <w:proofErr w:type="spellStart"/>
      <w:r w:rsidRPr="00B67351">
        <w:rPr>
          <w:i/>
          <w:sz w:val="25"/>
          <w:szCs w:val="25"/>
          <w:lang w:val="en-US"/>
        </w:rPr>
        <w:t>dendrogram</w:t>
      </w:r>
      <w:proofErr w:type="spellEnd"/>
      <w:r w:rsidRPr="00B67351">
        <w:rPr>
          <w:i/>
          <w:sz w:val="25"/>
          <w:szCs w:val="25"/>
          <w:lang w:val="en-US"/>
        </w:rPr>
        <w:t xml:space="preserve"> and calculating the </w:t>
      </w:r>
      <w:proofErr w:type="spellStart"/>
      <w:r w:rsidRPr="00B67351">
        <w:rPr>
          <w:i/>
          <w:sz w:val="25"/>
          <w:szCs w:val="25"/>
          <w:lang w:val="en-US"/>
        </w:rPr>
        <w:t>Calinski</w:t>
      </w:r>
      <w:proofErr w:type="spellEnd"/>
      <w:r w:rsidRPr="00B67351">
        <w:rPr>
          <w:i/>
          <w:sz w:val="25"/>
          <w:szCs w:val="25"/>
          <w:lang w:val="en-US"/>
        </w:rPr>
        <w:t>-</w:t>
      </w:r>
      <w:proofErr w:type="spellStart"/>
      <w:r w:rsidRPr="00B67351">
        <w:rPr>
          <w:i/>
          <w:sz w:val="25"/>
          <w:szCs w:val="25"/>
          <w:lang w:val="en-US"/>
        </w:rPr>
        <w:t>Harabaszpseudo</w:t>
      </w:r>
      <w:proofErr w:type="spellEnd"/>
      <w:r w:rsidRPr="00B67351">
        <w:rPr>
          <w:i/>
          <w:sz w:val="25"/>
          <w:szCs w:val="25"/>
          <w:lang w:val="en-US"/>
        </w:rPr>
        <w:t>-F criterion, the optimal number of clusters is determined. As a result of k-average partitioning more than 30 regions in 2016 were included in the group with low and below average debt sustainability.</w:t>
      </w:r>
    </w:p>
    <w:p w:rsidR="00C76837" w:rsidRPr="00B67351" w:rsidRDefault="00C76837" w:rsidP="00B67351">
      <w:pPr>
        <w:pStyle w:val="2"/>
        <w:shd w:val="clear" w:color="auto" w:fill="auto"/>
        <w:tabs>
          <w:tab w:val="left" w:pos="1354"/>
        </w:tabs>
        <w:spacing w:after="0" w:line="360" w:lineRule="auto"/>
        <w:ind w:firstLine="709"/>
        <w:jc w:val="both"/>
        <w:rPr>
          <w:i/>
          <w:sz w:val="25"/>
          <w:szCs w:val="25"/>
          <w:lang w:val="en-US"/>
        </w:rPr>
      </w:pPr>
      <w:r w:rsidRPr="00B67351">
        <w:rPr>
          <w:i/>
          <w:sz w:val="25"/>
          <w:szCs w:val="25"/>
          <w:lang w:val="en-US"/>
        </w:rPr>
        <w:t>Keywords: regional budget, public debt, debt sustainability, cluster analysis.</w:t>
      </w:r>
    </w:p>
    <w:p w:rsidR="00B67351" w:rsidRDefault="00B67351" w:rsidP="00B67351">
      <w:pPr>
        <w:pStyle w:val="2"/>
        <w:tabs>
          <w:tab w:val="left" w:pos="1354"/>
        </w:tabs>
        <w:spacing w:after="0" w:line="360" w:lineRule="auto"/>
        <w:ind w:firstLine="709"/>
        <w:rPr>
          <w:sz w:val="25"/>
          <w:szCs w:val="25"/>
        </w:rPr>
      </w:pPr>
    </w:p>
    <w:p w:rsidR="00C76837" w:rsidRPr="00B67351" w:rsidRDefault="00C76837" w:rsidP="00B67351">
      <w:pPr>
        <w:pStyle w:val="2"/>
        <w:tabs>
          <w:tab w:val="left" w:pos="1354"/>
        </w:tabs>
        <w:spacing w:after="0" w:line="360" w:lineRule="auto"/>
        <w:ind w:firstLine="709"/>
        <w:rPr>
          <w:sz w:val="25"/>
          <w:szCs w:val="25"/>
          <w:lang w:val="en-US"/>
        </w:rPr>
      </w:pPr>
      <w:r w:rsidRPr="00B67351">
        <w:rPr>
          <w:sz w:val="25"/>
          <w:szCs w:val="25"/>
          <w:lang w:val="en-US"/>
        </w:rPr>
        <w:t>List of sources used</w:t>
      </w:r>
    </w:p>
    <w:p w:rsidR="00C76837" w:rsidRPr="00B67351" w:rsidRDefault="00C76837" w:rsidP="00B67351">
      <w:pPr>
        <w:pStyle w:val="2"/>
        <w:tabs>
          <w:tab w:val="left" w:pos="1354"/>
        </w:tabs>
        <w:spacing w:after="0" w:line="360" w:lineRule="auto"/>
        <w:ind w:firstLine="709"/>
        <w:jc w:val="both"/>
        <w:rPr>
          <w:sz w:val="25"/>
          <w:szCs w:val="25"/>
          <w:lang w:val="en-US"/>
        </w:rPr>
      </w:pPr>
      <w:r w:rsidRPr="00B67351">
        <w:rPr>
          <w:sz w:val="25"/>
          <w:szCs w:val="25"/>
          <w:lang w:val="en-US"/>
        </w:rPr>
        <w:t xml:space="preserve">1. </w:t>
      </w:r>
      <w:proofErr w:type="spellStart"/>
      <w:r w:rsidRPr="00B67351">
        <w:rPr>
          <w:sz w:val="25"/>
          <w:szCs w:val="25"/>
          <w:lang w:val="en-US"/>
        </w:rPr>
        <w:t>Balynin</w:t>
      </w:r>
      <w:proofErr w:type="spellEnd"/>
      <w:r w:rsidRPr="00B67351">
        <w:rPr>
          <w:sz w:val="25"/>
          <w:szCs w:val="25"/>
          <w:lang w:val="en-US"/>
        </w:rPr>
        <w:t xml:space="preserve">, I.V. Comprehensive analysis of the debt policy within the framework of the rating assessment of the subjects of the Russian Federation in terms of the level of risk of imbalance in regional budgets [Text] / I.V. </w:t>
      </w:r>
      <w:proofErr w:type="spellStart"/>
      <w:r w:rsidRPr="00B67351">
        <w:rPr>
          <w:sz w:val="25"/>
          <w:szCs w:val="25"/>
          <w:lang w:val="en-US"/>
        </w:rPr>
        <w:t>Balynin</w:t>
      </w:r>
      <w:proofErr w:type="spellEnd"/>
      <w:r w:rsidRPr="00B67351">
        <w:rPr>
          <w:sz w:val="25"/>
          <w:szCs w:val="25"/>
          <w:lang w:val="en-US"/>
        </w:rPr>
        <w:t xml:space="preserve"> // Economics and Entrepreneurship. - 2014. - №5. - P. 217-222.</w:t>
      </w:r>
    </w:p>
    <w:p w:rsidR="00C76837" w:rsidRPr="00B67351" w:rsidRDefault="00C76837" w:rsidP="00B67351">
      <w:pPr>
        <w:pStyle w:val="2"/>
        <w:tabs>
          <w:tab w:val="left" w:pos="1354"/>
        </w:tabs>
        <w:spacing w:after="0" w:line="360" w:lineRule="auto"/>
        <w:ind w:firstLine="709"/>
        <w:jc w:val="both"/>
        <w:rPr>
          <w:sz w:val="25"/>
          <w:szCs w:val="25"/>
          <w:lang w:val="en-US"/>
        </w:rPr>
      </w:pPr>
      <w:r w:rsidRPr="00B67351">
        <w:rPr>
          <w:sz w:val="25"/>
          <w:szCs w:val="25"/>
          <w:lang w:val="en-US"/>
        </w:rPr>
        <w:t xml:space="preserve">2. </w:t>
      </w:r>
      <w:proofErr w:type="spellStart"/>
      <w:r w:rsidRPr="00B67351">
        <w:rPr>
          <w:sz w:val="25"/>
          <w:szCs w:val="25"/>
          <w:lang w:val="en-US"/>
        </w:rPr>
        <w:t>Galukhin</w:t>
      </w:r>
      <w:proofErr w:type="spellEnd"/>
      <w:r w:rsidRPr="00B67351">
        <w:rPr>
          <w:sz w:val="25"/>
          <w:szCs w:val="25"/>
          <w:lang w:val="en-US"/>
        </w:rPr>
        <w:t xml:space="preserve">, A.V. Estimation of debt sustainability of the budgets of the subjects of the federation [Electronic resource] / </w:t>
      </w:r>
      <w:r w:rsidRPr="00B67351">
        <w:rPr>
          <w:sz w:val="25"/>
          <w:szCs w:val="25"/>
        </w:rPr>
        <w:t>А</w:t>
      </w:r>
      <w:r w:rsidRPr="00B67351">
        <w:rPr>
          <w:sz w:val="25"/>
          <w:szCs w:val="25"/>
          <w:lang w:val="en-US"/>
        </w:rPr>
        <w:t>.</w:t>
      </w:r>
      <w:r w:rsidRPr="00B67351">
        <w:rPr>
          <w:sz w:val="25"/>
          <w:szCs w:val="25"/>
        </w:rPr>
        <w:t>В</w:t>
      </w:r>
      <w:r w:rsidRPr="00B67351">
        <w:rPr>
          <w:sz w:val="25"/>
          <w:szCs w:val="25"/>
          <w:lang w:val="en-US"/>
        </w:rPr>
        <w:t xml:space="preserve">. </w:t>
      </w:r>
      <w:proofErr w:type="spellStart"/>
      <w:r w:rsidRPr="00B67351">
        <w:rPr>
          <w:sz w:val="25"/>
          <w:szCs w:val="25"/>
          <w:lang w:val="en-US"/>
        </w:rPr>
        <w:t>Galukhin</w:t>
      </w:r>
      <w:proofErr w:type="spellEnd"/>
      <w:r w:rsidRPr="00B67351">
        <w:rPr>
          <w:sz w:val="25"/>
          <w:szCs w:val="25"/>
          <w:lang w:val="en-US"/>
        </w:rPr>
        <w:t xml:space="preserve"> // Issues of territorial development. - 2016. - № 5. - Access mode: http://vtr.vscc.ac.ru/article/2041</w:t>
      </w:r>
    </w:p>
    <w:p w:rsidR="00C76837" w:rsidRPr="00B67351" w:rsidRDefault="00C76837" w:rsidP="00B67351">
      <w:pPr>
        <w:pStyle w:val="2"/>
        <w:tabs>
          <w:tab w:val="left" w:pos="1354"/>
        </w:tabs>
        <w:spacing w:after="0" w:line="360" w:lineRule="auto"/>
        <w:ind w:firstLine="709"/>
        <w:jc w:val="both"/>
        <w:rPr>
          <w:sz w:val="25"/>
          <w:szCs w:val="25"/>
          <w:lang w:val="en-US"/>
        </w:rPr>
      </w:pPr>
      <w:r w:rsidRPr="00B67351">
        <w:rPr>
          <w:sz w:val="25"/>
          <w:szCs w:val="25"/>
          <w:lang w:val="en-US"/>
        </w:rPr>
        <w:t xml:space="preserve">3. </w:t>
      </w:r>
      <w:proofErr w:type="spellStart"/>
      <w:r w:rsidRPr="00B67351">
        <w:rPr>
          <w:sz w:val="25"/>
          <w:szCs w:val="25"/>
          <w:lang w:val="en-US"/>
        </w:rPr>
        <w:t>Ilyin</w:t>
      </w:r>
      <w:proofErr w:type="spellEnd"/>
      <w:r w:rsidRPr="00B67351">
        <w:rPr>
          <w:sz w:val="25"/>
          <w:szCs w:val="25"/>
          <w:lang w:val="en-US"/>
        </w:rPr>
        <w:t xml:space="preserve">, V.A. Efficiency of public administration. 2000-2015. Contradictory results are a logical result [Text]: monograph / V.A. </w:t>
      </w:r>
      <w:proofErr w:type="spellStart"/>
      <w:r w:rsidRPr="00B67351">
        <w:rPr>
          <w:sz w:val="25"/>
          <w:szCs w:val="25"/>
          <w:lang w:val="en-US"/>
        </w:rPr>
        <w:t>Ilyin</w:t>
      </w:r>
      <w:proofErr w:type="spellEnd"/>
      <w:r w:rsidRPr="00B67351">
        <w:rPr>
          <w:sz w:val="25"/>
          <w:szCs w:val="25"/>
          <w:lang w:val="en-US"/>
        </w:rPr>
        <w:t>, A.I. Cook. - Vologda: ISEDT RAS, 2016. - 304 p.</w:t>
      </w:r>
    </w:p>
    <w:p w:rsidR="00C76837" w:rsidRPr="00B67351" w:rsidRDefault="00C76837" w:rsidP="00B67351">
      <w:pPr>
        <w:pStyle w:val="2"/>
        <w:tabs>
          <w:tab w:val="left" w:pos="1354"/>
        </w:tabs>
        <w:spacing w:after="0" w:line="360" w:lineRule="auto"/>
        <w:ind w:firstLine="709"/>
        <w:jc w:val="both"/>
        <w:rPr>
          <w:sz w:val="25"/>
          <w:szCs w:val="25"/>
          <w:lang w:val="en-US"/>
        </w:rPr>
      </w:pPr>
      <w:r w:rsidRPr="00B67351">
        <w:rPr>
          <w:sz w:val="25"/>
          <w:szCs w:val="25"/>
          <w:lang w:val="en-US"/>
        </w:rPr>
        <w:t xml:space="preserve">4. </w:t>
      </w:r>
      <w:proofErr w:type="spellStart"/>
      <w:r w:rsidRPr="00B67351">
        <w:rPr>
          <w:sz w:val="25"/>
          <w:szCs w:val="25"/>
          <w:lang w:val="en-US"/>
        </w:rPr>
        <w:t>Kadzaeva</w:t>
      </w:r>
      <w:proofErr w:type="spellEnd"/>
      <w:r w:rsidRPr="00B67351">
        <w:rPr>
          <w:sz w:val="25"/>
          <w:szCs w:val="25"/>
          <w:lang w:val="en-US"/>
        </w:rPr>
        <w:t xml:space="preserve">, I.T. Debt policy of the regional budget and its changes [Text] / I.T. </w:t>
      </w:r>
      <w:proofErr w:type="spellStart"/>
      <w:r w:rsidRPr="00B67351">
        <w:rPr>
          <w:sz w:val="25"/>
          <w:szCs w:val="25"/>
          <w:lang w:val="en-US"/>
        </w:rPr>
        <w:t>Kadzaeva</w:t>
      </w:r>
      <w:proofErr w:type="spellEnd"/>
      <w:r w:rsidRPr="00B67351">
        <w:rPr>
          <w:sz w:val="25"/>
          <w:szCs w:val="25"/>
          <w:lang w:val="en-US"/>
        </w:rPr>
        <w:t xml:space="preserve"> // Terra </w:t>
      </w:r>
      <w:proofErr w:type="spellStart"/>
      <w:r w:rsidRPr="00B67351">
        <w:rPr>
          <w:sz w:val="25"/>
          <w:szCs w:val="25"/>
          <w:lang w:val="en-US"/>
        </w:rPr>
        <w:t>Economicus</w:t>
      </w:r>
      <w:proofErr w:type="spellEnd"/>
      <w:r w:rsidRPr="00B67351">
        <w:rPr>
          <w:sz w:val="25"/>
          <w:szCs w:val="25"/>
          <w:lang w:val="en-US"/>
        </w:rPr>
        <w:t>. - 2012. - № 2. - P. 158-160.</w:t>
      </w:r>
    </w:p>
    <w:p w:rsidR="00C76837" w:rsidRPr="00B67351" w:rsidRDefault="00C76837" w:rsidP="00B67351">
      <w:pPr>
        <w:pStyle w:val="2"/>
        <w:tabs>
          <w:tab w:val="left" w:pos="1354"/>
        </w:tabs>
        <w:spacing w:after="0" w:line="360" w:lineRule="auto"/>
        <w:ind w:firstLine="709"/>
        <w:jc w:val="both"/>
        <w:rPr>
          <w:sz w:val="25"/>
          <w:szCs w:val="25"/>
          <w:lang w:val="en-US"/>
        </w:rPr>
      </w:pPr>
      <w:r w:rsidRPr="00B67351">
        <w:rPr>
          <w:sz w:val="25"/>
          <w:szCs w:val="25"/>
          <w:lang w:val="en-US"/>
        </w:rPr>
        <w:t xml:space="preserve">5. Problems of economic growth of the territory [Text]: monograph / </w:t>
      </w:r>
      <w:r w:rsidRPr="00B67351">
        <w:rPr>
          <w:sz w:val="25"/>
          <w:szCs w:val="25"/>
        </w:rPr>
        <w:t>Т</w:t>
      </w:r>
      <w:r w:rsidRPr="00B67351">
        <w:rPr>
          <w:sz w:val="25"/>
          <w:szCs w:val="25"/>
          <w:lang w:val="en-US"/>
        </w:rPr>
        <w:t>.</w:t>
      </w:r>
      <w:r w:rsidRPr="00B67351">
        <w:rPr>
          <w:sz w:val="25"/>
          <w:szCs w:val="25"/>
        </w:rPr>
        <w:t>В</w:t>
      </w:r>
      <w:r w:rsidRPr="00B67351">
        <w:rPr>
          <w:sz w:val="25"/>
          <w:szCs w:val="25"/>
          <w:lang w:val="en-US"/>
        </w:rPr>
        <w:t xml:space="preserve">. </w:t>
      </w:r>
      <w:proofErr w:type="spellStart"/>
      <w:r w:rsidRPr="00B67351">
        <w:rPr>
          <w:sz w:val="25"/>
          <w:szCs w:val="25"/>
          <w:lang w:val="en-US"/>
        </w:rPr>
        <w:t>Uskova</w:t>
      </w:r>
      <w:proofErr w:type="spellEnd"/>
      <w:r w:rsidRPr="00B67351">
        <w:rPr>
          <w:sz w:val="25"/>
          <w:szCs w:val="25"/>
          <w:lang w:val="en-US"/>
        </w:rPr>
        <w:t xml:space="preserve">, E.V. </w:t>
      </w:r>
      <w:proofErr w:type="spellStart"/>
      <w:r w:rsidRPr="00B67351">
        <w:rPr>
          <w:sz w:val="25"/>
          <w:szCs w:val="25"/>
          <w:lang w:val="en-US"/>
        </w:rPr>
        <w:t>Lukin</w:t>
      </w:r>
      <w:proofErr w:type="spellEnd"/>
      <w:r w:rsidRPr="00B67351">
        <w:rPr>
          <w:sz w:val="25"/>
          <w:szCs w:val="25"/>
          <w:lang w:val="en-US"/>
        </w:rPr>
        <w:t xml:space="preserve">, </w:t>
      </w:r>
      <w:r w:rsidRPr="00B67351">
        <w:rPr>
          <w:sz w:val="25"/>
          <w:szCs w:val="25"/>
        </w:rPr>
        <w:t>Т</w:t>
      </w:r>
      <w:r w:rsidRPr="00B67351">
        <w:rPr>
          <w:sz w:val="25"/>
          <w:szCs w:val="25"/>
          <w:lang w:val="en-US"/>
        </w:rPr>
        <w:t>.</w:t>
      </w:r>
      <w:r w:rsidRPr="00B67351">
        <w:rPr>
          <w:sz w:val="25"/>
          <w:szCs w:val="25"/>
        </w:rPr>
        <w:t>В</w:t>
      </w:r>
      <w:r w:rsidRPr="00B67351">
        <w:rPr>
          <w:sz w:val="25"/>
          <w:szCs w:val="25"/>
          <w:lang w:val="en-US"/>
        </w:rPr>
        <w:t xml:space="preserve">. </w:t>
      </w:r>
      <w:proofErr w:type="spellStart"/>
      <w:r w:rsidRPr="00B67351">
        <w:rPr>
          <w:sz w:val="25"/>
          <w:szCs w:val="25"/>
          <w:lang w:val="en-US"/>
        </w:rPr>
        <w:t>Vorontsova</w:t>
      </w:r>
      <w:proofErr w:type="spellEnd"/>
      <w:r w:rsidRPr="00B67351">
        <w:rPr>
          <w:sz w:val="25"/>
          <w:szCs w:val="25"/>
          <w:lang w:val="en-US"/>
        </w:rPr>
        <w:t xml:space="preserve">, TG </w:t>
      </w:r>
      <w:proofErr w:type="spellStart"/>
      <w:r w:rsidRPr="00B67351">
        <w:rPr>
          <w:sz w:val="25"/>
          <w:szCs w:val="25"/>
          <w:lang w:val="en-US"/>
        </w:rPr>
        <w:t>Smirnova</w:t>
      </w:r>
      <w:proofErr w:type="spellEnd"/>
      <w:r w:rsidRPr="00B67351">
        <w:rPr>
          <w:sz w:val="25"/>
          <w:szCs w:val="25"/>
          <w:lang w:val="en-US"/>
        </w:rPr>
        <w:t xml:space="preserve">; Under the hands. T.V. </w:t>
      </w:r>
      <w:proofErr w:type="spellStart"/>
      <w:r w:rsidRPr="00B67351">
        <w:rPr>
          <w:sz w:val="25"/>
          <w:szCs w:val="25"/>
          <w:lang w:val="en-US"/>
        </w:rPr>
        <w:t>Uskovoy</w:t>
      </w:r>
      <w:proofErr w:type="spellEnd"/>
      <w:r w:rsidRPr="00B67351">
        <w:rPr>
          <w:sz w:val="25"/>
          <w:szCs w:val="25"/>
          <w:lang w:val="en-US"/>
        </w:rPr>
        <w:t>. - Vologda: Institute of socio-economic development of the territories of the Russian Academy of Sciences, 2013. - 170 p.</w:t>
      </w:r>
    </w:p>
    <w:p w:rsidR="00C76837" w:rsidRPr="00B67351" w:rsidRDefault="00C76837" w:rsidP="00B67351">
      <w:pPr>
        <w:pStyle w:val="2"/>
        <w:tabs>
          <w:tab w:val="left" w:pos="1354"/>
        </w:tabs>
        <w:spacing w:after="0" w:line="360" w:lineRule="auto"/>
        <w:ind w:firstLine="709"/>
        <w:jc w:val="both"/>
        <w:rPr>
          <w:sz w:val="25"/>
          <w:szCs w:val="25"/>
          <w:lang w:val="en-US"/>
        </w:rPr>
      </w:pPr>
      <w:r w:rsidRPr="00B67351">
        <w:rPr>
          <w:sz w:val="25"/>
          <w:szCs w:val="25"/>
          <w:lang w:val="en-US"/>
        </w:rPr>
        <w:t xml:space="preserve">6. </w:t>
      </w:r>
      <w:proofErr w:type="spellStart"/>
      <w:r w:rsidRPr="00B67351">
        <w:rPr>
          <w:sz w:val="25"/>
          <w:szCs w:val="25"/>
          <w:lang w:val="en-US"/>
        </w:rPr>
        <w:t>Soldatkin</w:t>
      </w:r>
      <w:proofErr w:type="spellEnd"/>
      <w:r w:rsidRPr="00B67351">
        <w:rPr>
          <w:sz w:val="25"/>
          <w:szCs w:val="25"/>
          <w:lang w:val="en-US"/>
        </w:rPr>
        <w:t xml:space="preserve">, S.N. Influence of the Debt Policy of the Authorities of the Subjects of the Russian Federation on the Stability of the Territorial Financial System [Text] / S.N. </w:t>
      </w:r>
      <w:proofErr w:type="spellStart"/>
      <w:r w:rsidRPr="00B67351">
        <w:rPr>
          <w:sz w:val="25"/>
          <w:szCs w:val="25"/>
          <w:lang w:val="en-US"/>
        </w:rPr>
        <w:t>Soldatkin</w:t>
      </w:r>
      <w:proofErr w:type="spellEnd"/>
      <w:r w:rsidRPr="00B67351">
        <w:rPr>
          <w:sz w:val="25"/>
          <w:szCs w:val="25"/>
          <w:lang w:val="en-US"/>
        </w:rPr>
        <w:t xml:space="preserve"> // Humanization of Education. - 2014. - № 3. - P. 47-55.</w:t>
      </w:r>
    </w:p>
    <w:p w:rsidR="00C76837" w:rsidRPr="00B67351" w:rsidRDefault="00C76837" w:rsidP="00B67351">
      <w:pPr>
        <w:pStyle w:val="2"/>
        <w:shd w:val="clear" w:color="auto" w:fill="auto"/>
        <w:tabs>
          <w:tab w:val="left" w:pos="1354"/>
        </w:tabs>
        <w:spacing w:after="0" w:line="360" w:lineRule="auto"/>
        <w:ind w:firstLine="709"/>
        <w:jc w:val="both"/>
        <w:rPr>
          <w:sz w:val="25"/>
          <w:szCs w:val="25"/>
        </w:rPr>
      </w:pPr>
      <w:r w:rsidRPr="00B67351">
        <w:rPr>
          <w:sz w:val="25"/>
          <w:szCs w:val="25"/>
          <w:lang w:val="en-US"/>
        </w:rPr>
        <w:t xml:space="preserve">7. Marshall T. Bond market bites back. </w:t>
      </w:r>
      <w:proofErr w:type="spellStart"/>
      <w:r w:rsidRPr="00B67351">
        <w:rPr>
          <w:sz w:val="25"/>
          <w:szCs w:val="25"/>
        </w:rPr>
        <w:t>Euromoney</w:t>
      </w:r>
      <w:proofErr w:type="spellEnd"/>
      <w:r w:rsidRPr="00B67351">
        <w:rPr>
          <w:sz w:val="25"/>
          <w:szCs w:val="25"/>
        </w:rPr>
        <w:t xml:space="preserve">. </w:t>
      </w:r>
      <w:proofErr w:type="spellStart"/>
      <w:r w:rsidRPr="00B67351">
        <w:rPr>
          <w:sz w:val="25"/>
          <w:szCs w:val="25"/>
        </w:rPr>
        <w:t>Dec</w:t>
      </w:r>
      <w:proofErr w:type="spellEnd"/>
      <w:r w:rsidRPr="00B67351">
        <w:rPr>
          <w:sz w:val="25"/>
          <w:szCs w:val="25"/>
        </w:rPr>
        <w:t xml:space="preserve">. 2002. Vol.33, </w:t>
      </w:r>
      <w:proofErr w:type="spellStart"/>
      <w:r w:rsidRPr="00B67351">
        <w:rPr>
          <w:sz w:val="25"/>
          <w:szCs w:val="25"/>
        </w:rPr>
        <w:t>Issue</w:t>
      </w:r>
      <w:proofErr w:type="spellEnd"/>
    </w:p>
    <w:sectPr w:rsidR="00C76837" w:rsidRPr="00B67351" w:rsidSect="00783E8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9" w:rsidRDefault="00A46799" w:rsidP="006643CD">
      <w:pPr>
        <w:spacing w:after="0" w:line="240" w:lineRule="auto"/>
      </w:pPr>
      <w:r>
        <w:separator/>
      </w:r>
    </w:p>
  </w:endnote>
  <w:endnote w:type="continuationSeparator" w:id="0">
    <w:p w:rsidR="00A46799" w:rsidRDefault="00A46799" w:rsidP="0066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lticaC">
    <w:altName w:val="BalticaC"/>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79085"/>
      <w:docPartObj>
        <w:docPartGallery w:val="Page Numbers (Bottom of Page)"/>
        <w:docPartUnique/>
      </w:docPartObj>
    </w:sdtPr>
    <w:sdtContent>
      <w:p w:rsidR="00A46799" w:rsidRDefault="00A46799" w:rsidP="0003770F">
        <w:pPr>
          <w:pStyle w:val="af8"/>
          <w:jc w:val="right"/>
        </w:pPr>
        <w:r>
          <w:fldChar w:fldCharType="begin"/>
        </w:r>
        <w:r>
          <w:instrText>PAGE   \* MERGEFORMAT</w:instrText>
        </w:r>
        <w:r>
          <w:fldChar w:fldCharType="separate"/>
        </w:r>
        <w:r w:rsidR="00A85740">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9" w:rsidRDefault="00A46799" w:rsidP="006643CD">
      <w:pPr>
        <w:spacing w:after="0" w:line="240" w:lineRule="auto"/>
      </w:pPr>
      <w:r>
        <w:separator/>
      </w:r>
    </w:p>
  </w:footnote>
  <w:footnote w:type="continuationSeparator" w:id="0">
    <w:p w:rsidR="00A46799" w:rsidRDefault="00A46799" w:rsidP="00664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F81"/>
    <w:multiLevelType w:val="multilevel"/>
    <w:tmpl w:val="B1CC8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73669"/>
    <w:multiLevelType w:val="multilevel"/>
    <w:tmpl w:val="3DE87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05593"/>
    <w:multiLevelType w:val="multilevel"/>
    <w:tmpl w:val="4D22A72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03617"/>
    <w:multiLevelType w:val="multilevel"/>
    <w:tmpl w:val="AD86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E2B92"/>
    <w:multiLevelType w:val="multilevel"/>
    <w:tmpl w:val="16123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B0042"/>
    <w:multiLevelType w:val="multilevel"/>
    <w:tmpl w:val="01268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E42FB8"/>
    <w:multiLevelType w:val="multilevel"/>
    <w:tmpl w:val="DEF2907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E4E11"/>
    <w:multiLevelType w:val="multilevel"/>
    <w:tmpl w:val="3DE87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7173EC"/>
    <w:multiLevelType w:val="multilevel"/>
    <w:tmpl w:val="DBE47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263B0F"/>
    <w:multiLevelType w:val="hybridMultilevel"/>
    <w:tmpl w:val="43BC0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FB6144"/>
    <w:multiLevelType w:val="hybridMultilevel"/>
    <w:tmpl w:val="B4A838C2"/>
    <w:lvl w:ilvl="0" w:tplc="D39204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6B01D5"/>
    <w:multiLevelType w:val="multilevel"/>
    <w:tmpl w:val="0B02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0C1BBB"/>
    <w:multiLevelType w:val="multilevel"/>
    <w:tmpl w:val="F8C66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112B67"/>
    <w:multiLevelType w:val="multilevel"/>
    <w:tmpl w:val="9520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754338"/>
    <w:multiLevelType w:val="multilevel"/>
    <w:tmpl w:val="4CC47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5"/>
  </w:num>
  <w:num w:numId="4">
    <w:abstractNumId w:val="13"/>
  </w:num>
  <w:num w:numId="5">
    <w:abstractNumId w:val="0"/>
  </w:num>
  <w:num w:numId="6">
    <w:abstractNumId w:val="8"/>
  </w:num>
  <w:num w:numId="7">
    <w:abstractNumId w:val="6"/>
  </w:num>
  <w:num w:numId="8">
    <w:abstractNumId w:val="1"/>
  </w:num>
  <w:num w:numId="9">
    <w:abstractNumId w:val="7"/>
  </w:num>
  <w:num w:numId="10">
    <w:abstractNumId w:val="3"/>
  </w:num>
  <w:num w:numId="11">
    <w:abstractNumId w:val="4"/>
  </w:num>
  <w:num w:numId="12">
    <w:abstractNumId w:val="10"/>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A7"/>
    <w:rsid w:val="00021221"/>
    <w:rsid w:val="0003770F"/>
    <w:rsid w:val="00060B48"/>
    <w:rsid w:val="00062962"/>
    <w:rsid w:val="000A04AE"/>
    <w:rsid w:val="000A1621"/>
    <w:rsid w:val="000A55E6"/>
    <w:rsid w:val="000B120E"/>
    <w:rsid w:val="000C5AE5"/>
    <w:rsid w:val="000C6458"/>
    <w:rsid w:val="000E742D"/>
    <w:rsid w:val="000F23CF"/>
    <w:rsid w:val="0011427C"/>
    <w:rsid w:val="00124DE0"/>
    <w:rsid w:val="00170052"/>
    <w:rsid w:val="00192373"/>
    <w:rsid w:val="001A2D56"/>
    <w:rsid w:val="001B2EB7"/>
    <w:rsid w:val="001B75DA"/>
    <w:rsid w:val="00203788"/>
    <w:rsid w:val="00212491"/>
    <w:rsid w:val="002226CF"/>
    <w:rsid w:val="002533E1"/>
    <w:rsid w:val="00257D02"/>
    <w:rsid w:val="00266B80"/>
    <w:rsid w:val="002953B7"/>
    <w:rsid w:val="002A3BFA"/>
    <w:rsid w:val="002B3A3D"/>
    <w:rsid w:val="002B55FB"/>
    <w:rsid w:val="002C1028"/>
    <w:rsid w:val="002C13A5"/>
    <w:rsid w:val="002E3BE5"/>
    <w:rsid w:val="002F61FD"/>
    <w:rsid w:val="003232F6"/>
    <w:rsid w:val="003340D2"/>
    <w:rsid w:val="00337AF0"/>
    <w:rsid w:val="0036131F"/>
    <w:rsid w:val="00362CF7"/>
    <w:rsid w:val="00372236"/>
    <w:rsid w:val="003752A2"/>
    <w:rsid w:val="003801D8"/>
    <w:rsid w:val="00381925"/>
    <w:rsid w:val="00395038"/>
    <w:rsid w:val="003A15EC"/>
    <w:rsid w:val="003B4345"/>
    <w:rsid w:val="003C5BF0"/>
    <w:rsid w:val="003D0B69"/>
    <w:rsid w:val="004000F7"/>
    <w:rsid w:val="00402A29"/>
    <w:rsid w:val="00420943"/>
    <w:rsid w:val="00434FAB"/>
    <w:rsid w:val="00463604"/>
    <w:rsid w:val="00475846"/>
    <w:rsid w:val="004920C4"/>
    <w:rsid w:val="00492D2C"/>
    <w:rsid w:val="004A5653"/>
    <w:rsid w:val="004B201B"/>
    <w:rsid w:val="004B6ECB"/>
    <w:rsid w:val="004F7122"/>
    <w:rsid w:val="004F7BE0"/>
    <w:rsid w:val="004F7E59"/>
    <w:rsid w:val="00507D8E"/>
    <w:rsid w:val="00514AEC"/>
    <w:rsid w:val="00520B36"/>
    <w:rsid w:val="00551A28"/>
    <w:rsid w:val="00552175"/>
    <w:rsid w:val="005632A7"/>
    <w:rsid w:val="0059737F"/>
    <w:rsid w:val="005A3BEA"/>
    <w:rsid w:val="005B03BC"/>
    <w:rsid w:val="00622538"/>
    <w:rsid w:val="006643CD"/>
    <w:rsid w:val="006748FA"/>
    <w:rsid w:val="00682AD0"/>
    <w:rsid w:val="006A56E7"/>
    <w:rsid w:val="006D7F8E"/>
    <w:rsid w:val="006E172F"/>
    <w:rsid w:val="007238F2"/>
    <w:rsid w:val="0073670E"/>
    <w:rsid w:val="007439E9"/>
    <w:rsid w:val="00744118"/>
    <w:rsid w:val="0075780B"/>
    <w:rsid w:val="00783E8D"/>
    <w:rsid w:val="007915EB"/>
    <w:rsid w:val="007A4190"/>
    <w:rsid w:val="007C0559"/>
    <w:rsid w:val="007D42EA"/>
    <w:rsid w:val="007D567B"/>
    <w:rsid w:val="007E2263"/>
    <w:rsid w:val="00855F00"/>
    <w:rsid w:val="00862AFA"/>
    <w:rsid w:val="00870046"/>
    <w:rsid w:val="00873837"/>
    <w:rsid w:val="008C7203"/>
    <w:rsid w:val="008D0854"/>
    <w:rsid w:val="008D3D9B"/>
    <w:rsid w:val="008E6153"/>
    <w:rsid w:val="0090450C"/>
    <w:rsid w:val="0090597B"/>
    <w:rsid w:val="00914E38"/>
    <w:rsid w:val="00916B0B"/>
    <w:rsid w:val="009A5FCC"/>
    <w:rsid w:val="009C5C25"/>
    <w:rsid w:val="009F177C"/>
    <w:rsid w:val="009F6FC3"/>
    <w:rsid w:val="00A20B87"/>
    <w:rsid w:val="00A4440F"/>
    <w:rsid w:val="00A46799"/>
    <w:rsid w:val="00A60DBA"/>
    <w:rsid w:val="00A61E21"/>
    <w:rsid w:val="00A85740"/>
    <w:rsid w:val="00AB7CC2"/>
    <w:rsid w:val="00AC5A11"/>
    <w:rsid w:val="00B26B25"/>
    <w:rsid w:val="00B3032B"/>
    <w:rsid w:val="00B61E2A"/>
    <w:rsid w:val="00B67351"/>
    <w:rsid w:val="00BA0947"/>
    <w:rsid w:val="00BA2C44"/>
    <w:rsid w:val="00BB4484"/>
    <w:rsid w:val="00BD4600"/>
    <w:rsid w:val="00BD51AB"/>
    <w:rsid w:val="00BE183F"/>
    <w:rsid w:val="00BE7522"/>
    <w:rsid w:val="00C00652"/>
    <w:rsid w:val="00C6120E"/>
    <w:rsid w:val="00C63E21"/>
    <w:rsid w:val="00C643C6"/>
    <w:rsid w:val="00C76837"/>
    <w:rsid w:val="00C933D0"/>
    <w:rsid w:val="00CD6A4C"/>
    <w:rsid w:val="00D224CE"/>
    <w:rsid w:val="00D31DDA"/>
    <w:rsid w:val="00D705E1"/>
    <w:rsid w:val="00DB5AFE"/>
    <w:rsid w:val="00DE069C"/>
    <w:rsid w:val="00E040A5"/>
    <w:rsid w:val="00E070C6"/>
    <w:rsid w:val="00E20D61"/>
    <w:rsid w:val="00E36F89"/>
    <w:rsid w:val="00E40CBE"/>
    <w:rsid w:val="00E43503"/>
    <w:rsid w:val="00E452ED"/>
    <w:rsid w:val="00E46497"/>
    <w:rsid w:val="00E605C6"/>
    <w:rsid w:val="00E9144B"/>
    <w:rsid w:val="00E96B49"/>
    <w:rsid w:val="00EE31E4"/>
    <w:rsid w:val="00F022DA"/>
    <w:rsid w:val="00F47EC9"/>
    <w:rsid w:val="00F57AA4"/>
    <w:rsid w:val="00F650BD"/>
    <w:rsid w:val="00F854FD"/>
    <w:rsid w:val="00F929F7"/>
    <w:rsid w:val="00F97E20"/>
    <w:rsid w:val="00FB4444"/>
    <w:rsid w:val="00FF0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768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632A7"/>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5632A7"/>
    <w:pPr>
      <w:widowControl w:val="0"/>
      <w:shd w:val="clear" w:color="auto" w:fill="FFFFFF"/>
      <w:spacing w:after="360" w:line="0" w:lineRule="atLeast"/>
      <w:jc w:val="center"/>
    </w:pPr>
    <w:rPr>
      <w:rFonts w:ascii="Times New Roman" w:eastAsia="Times New Roman" w:hAnsi="Times New Roman" w:cs="Times New Roman"/>
      <w:spacing w:val="-1"/>
    </w:rPr>
  </w:style>
  <w:style w:type="character" w:customStyle="1" w:styleId="10pt0pt">
    <w:name w:val="Основной текст + 10 pt;Интервал 0 pt"/>
    <w:basedOn w:val="a3"/>
    <w:rsid w:val="005632A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0">
    <w:name w:val="Основной текст (2)_"/>
    <w:basedOn w:val="a0"/>
    <w:link w:val="21"/>
    <w:rsid w:val="005632A7"/>
    <w:rPr>
      <w:rFonts w:ascii="Times New Roman" w:eastAsia="Times New Roman" w:hAnsi="Times New Roman" w:cs="Times New Roman"/>
      <w:b/>
      <w:bCs/>
      <w:spacing w:val="-1"/>
      <w:shd w:val="clear" w:color="auto" w:fill="FFFFFF"/>
    </w:rPr>
  </w:style>
  <w:style w:type="paragraph" w:customStyle="1" w:styleId="21">
    <w:name w:val="Основной текст (2)"/>
    <w:basedOn w:val="a"/>
    <w:link w:val="20"/>
    <w:rsid w:val="005632A7"/>
    <w:pPr>
      <w:widowControl w:val="0"/>
      <w:shd w:val="clear" w:color="auto" w:fill="FFFFFF"/>
      <w:spacing w:after="240" w:line="418" w:lineRule="exact"/>
      <w:ind w:hanging="440"/>
    </w:pPr>
    <w:rPr>
      <w:rFonts w:ascii="Times New Roman" w:eastAsia="Times New Roman" w:hAnsi="Times New Roman" w:cs="Times New Roman"/>
      <w:b/>
      <w:bCs/>
      <w:spacing w:val="-1"/>
    </w:rPr>
  </w:style>
  <w:style w:type="character" w:customStyle="1" w:styleId="1">
    <w:name w:val="Основной текст1"/>
    <w:basedOn w:val="a3"/>
    <w:rsid w:val="005632A7"/>
    <w:rPr>
      <w:rFonts w:ascii="Times New Roman" w:eastAsia="Times New Roman" w:hAnsi="Times New Roman" w:cs="Times New Roman"/>
      <w:b w:val="0"/>
      <w:bCs w:val="0"/>
      <w:i w:val="0"/>
      <w:iCs w:val="0"/>
      <w:smallCaps w:val="0"/>
      <w:strike w:val="0"/>
      <w:color w:val="000000"/>
      <w:spacing w:val="-1"/>
      <w:w w:val="100"/>
      <w:position w:val="0"/>
      <w:sz w:val="22"/>
      <w:szCs w:val="22"/>
      <w:u w:val="single"/>
      <w:shd w:val="clear" w:color="auto" w:fill="FFFFFF"/>
      <w:lang w:val="ru-RU" w:eastAsia="ru-RU" w:bidi="ru-RU"/>
    </w:rPr>
  </w:style>
  <w:style w:type="character" w:customStyle="1" w:styleId="a4">
    <w:name w:val="Сноска_"/>
    <w:basedOn w:val="a0"/>
    <w:link w:val="a5"/>
    <w:rsid w:val="005632A7"/>
    <w:rPr>
      <w:rFonts w:ascii="Times New Roman" w:eastAsia="Times New Roman" w:hAnsi="Times New Roman" w:cs="Times New Roman"/>
      <w:b/>
      <w:bCs/>
      <w:sz w:val="16"/>
      <w:szCs w:val="16"/>
      <w:shd w:val="clear" w:color="auto" w:fill="FFFFFF"/>
    </w:rPr>
  </w:style>
  <w:style w:type="paragraph" w:customStyle="1" w:styleId="a5">
    <w:name w:val="Сноска"/>
    <w:basedOn w:val="a"/>
    <w:link w:val="a4"/>
    <w:rsid w:val="005632A7"/>
    <w:pPr>
      <w:widowControl w:val="0"/>
      <w:shd w:val="clear" w:color="auto" w:fill="FFFFFF"/>
      <w:spacing w:after="0" w:line="230" w:lineRule="exact"/>
      <w:jc w:val="both"/>
    </w:pPr>
    <w:rPr>
      <w:rFonts w:ascii="Times New Roman" w:eastAsia="Times New Roman" w:hAnsi="Times New Roman" w:cs="Times New Roman"/>
      <w:b/>
      <w:bCs/>
      <w:sz w:val="16"/>
      <w:szCs w:val="16"/>
    </w:rPr>
  </w:style>
  <w:style w:type="paragraph" w:styleId="a6">
    <w:name w:val="Balloon Text"/>
    <w:basedOn w:val="a"/>
    <w:link w:val="a7"/>
    <w:uiPriority w:val="99"/>
    <w:semiHidden/>
    <w:unhideWhenUsed/>
    <w:rsid w:val="005632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32A7"/>
    <w:rPr>
      <w:rFonts w:ascii="Tahoma" w:hAnsi="Tahoma" w:cs="Tahoma"/>
      <w:sz w:val="16"/>
      <w:szCs w:val="16"/>
    </w:rPr>
  </w:style>
  <w:style w:type="character" w:customStyle="1" w:styleId="a8">
    <w:name w:val="Подпись к картинке_"/>
    <w:basedOn w:val="a0"/>
    <w:link w:val="a9"/>
    <w:rsid w:val="005632A7"/>
    <w:rPr>
      <w:rFonts w:ascii="Times New Roman" w:eastAsia="Times New Roman" w:hAnsi="Times New Roman" w:cs="Times New Roman"/>
      <w:b/>
      <w:bCs/>
      <w:spacing w:val="-1"/>
      <w:shd w:val="clear" w:color="auto" w:fill="FFFFFF"/>
    </w:rPr>
  </w:style>
  <w:style w:type="character" w:customStyle="1" w:styleId="aa">
    <w:name w:val="Подпись к картинке + Не полужирный"/>
    <w:basedOn w:val="a8"/>
    <w:rsid w:val="005632A7"/>
    <w:rPr>
      <w:rFonts w:ascii="Times New Roman" w:eastAsia="Times New Roman" w:hAnsi="Times New Roman" w:cs="Times New Roman"/>
      <w:b/>
      <w:bCs/>
      <w:color w:val="000000"/>
      <w:spacing w:val="-1"/>
      <w:w w:val="100"/>
      <w:position w:val="0"/>
      <w:shd w:val="clear" w:color="auto" w:fill="FFFFFF"/>
      <w:lang w:val="ru-RU" w:eastAsia="ru-RU" w:bidi="ru-RU"/>
    </w:rPr>
  </w:style>
  <w:style w:type="character" w:customStyle="1" w:styleId="22">
    <w:name w:val="Подпись к картинке (2)_"/>
    <w:basedOn w:val="a0"/>
    <w:link w:val="23"/>
    <w:rsid w:val="005632A7"/>
    <w:rPr>
      <w:rFonts w:ascii="Times New Roman" w:eastAsia="Times New Roman" w:hAnsi="Times New Roman" w:cs="Times New Roman"/>
      <w:spacing w:val="-1"/>
      <w:shd w:val="clear" w:color="auto" w:fill="FFFFFF"/>
    </w:rPr>
  </w:style>
  <w:style w:type="paragraph" w:customStyle="1" w:styleId="a9">
    <w:name w:val="Подпись к картинке"/>
    <w:basedOn w:val="a"/>
    <w:link w:val="a8"/>
    <w:rsid w:val="005632A7"/>
    <w:pPr>
      <w:widowControl w:val="0"/>
      <w:shd w:val="clear" w:color="auto" w:fill="FFFFFF"/>
      <w:spacing w:after="60" w:line="0" w:lineRule="atLeast"/>
      <w:jc w:val="center"/>
    </w:pPr>
    <w:rPr>
      <w:rFonts w:ascii="Times New Roman" w:eastAsia="Times New Roman" w:hAnsi="Times New Roman" w:cs="Times New Roman"/>
      <w:b/>
      <w:bCs/>
      <w:spacing w:val="-1"/>
    </w:rPr>
  </w:style>
  <w:style w:type="paragraph" w:customStyle="1" w:styleId="23">
    <w:name w:val="Подпись к картинке (2)"/>
    <w:basedOn w:val="a"/>
    <w:link w:val="22"/>
    <w:rsid w:val="005632A7"/>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24">
    <w:name w:val="Подпись к таблице (2)_"/>
    <w:basedOn w:val="a0"/>
    <w:link w:val="25"/>
    <w:rsid w:val="005632A7"/>
    <w:rPr>
      <w:rFonts w:ascii="Times New Roman" w:eastAsia="Times New Roman" w:hAnsi="Times New Roman" w:cs="Times New Roman"/>
      <w:spacing w:val="-1"/>
      <w:shd w:val="clear" w:color="auto" w:fill="FFFFFF"/>
    </w:rPr>
  </w:style>
  <w:style w:type="character" w:customStyle="1" w:styleId="ab">
    <w:name w:val="Подпись к таблице_"/>
    <w:basedOn w:val="a0"/>
    <w:rsid w:val="005632A7"/>
    <w:rPr>
      <w:rFonts w:ascii="Times New Roman" w:eastAsia="Times New Roman" w:hAnsi="Times New Roman" w:cs="Times New Roman"/>
      <w:b/>
      <w:bCs/>
      <w:i w:val="0"/>
      <w:iCs w:val="0"/>
      <w:smallCaps w:val="0"/>
      <w:strike w:val="0"/>
      <w:spacing w:val="-1"/>
      <w:sz w:val="22"/>
      <w:szCs w:val="22"/>
      <w:u w:val="none"/>
    </w:rPr>
  </w:style>
  <w:style w:type="character" w:customStyle="1" w:styleId="ac">
    <w:name w:val="Подпись к таблице"/>
    <w:basedOn w:val="ab"/>
    <w:rsid w:val="005632A7"/>
    <w:rPr>
      <w:rFonts w:ascii="Times New Roman" w:eastAsia="Times New Roman" w:hAnsi="Times New Roman" w:cs="Times New Roman"/>
      <w:b/>
      <w:bCs/>
      <w:i w:val="0"/>
      <w:iCs w:val="0"/>
      <w:smallCaps w:val="0"/>
      <w:strike w:val="0"/>
      <w:color w:val="000000"/>
      <w:spacing w:val="-1"/>
      <w:w w:val="100"/>
      <w:position w:val="0"/>
      <w:sz w:val="22"/>
      <w:szCs w:val="22"/>
      <w:u w:val="single"/>
      <w:lang w:val="ru-RU" w:eastAsia="ru-RU" w:bidi="ru-RU"/>
    </w:rPr>
  </w:style>
  <w:style w:type="paragraph" w:customStyle="1" w:styleId="25">
    <w:name w:val="Подпись к таблице (2)"/>
    <w:basedOn w:val="a"/>
    <w:link w:val="24"/>
    <w:rsid w:val="005632A7"/>
    <w:pPr>
      <w:widowControl w:val="0"/>
      <w:shd w:val="clear" w:color="auto" w:fill="FFFFFF"/>
      <w:spacing w:after="60" w:line="0" w:lineRule="atLeast"/>
      <w:jc w:val="right"/>
    </w:pPr>
    <w:rPr>
      <w:rFonts w:ascii="Times New Roman" w:eastAsia="Times New Roman" w:hAnsi="Times New Roman" w:cs="Times New Roman"/>
      <w:spacing w:val="-1"/>
    </w:rPr>
  </w:style>
  <w:style w:type="character" w:customStyle="1" w:styleId="10">
    <w:name w:val="Заголовок №1_"/>
    <w:basedOn w:val="a0"/>
    <w:link w:val="11"/>
    <w:rsid w:val="005632A7"/>
    <w:rPr>
      <w:rFonts w:ascii="Times New Roman" w:eastAsia="Times New Roman" w:hAnsi="Times New Roman" w:cs="Times New Roman"/>
      <w:b/>
      <w:bCs/>
      <w:spacing w:val="-3"/>
      <w:sz w:val="26"/>
      <w:szCs w:val="26"/>
      <w:shd w:val="clear" w:color="auto" w:fill="FFFFFF"/>
    </w:rPr>
  </w:style>
  <w:style w:type="paragraph" w:customStyle="1" w:styleId="11">
    <w:name w:val="Заголовок №1"/>
    <w:basedOn w:val="a"/>
    <w:link w:val="10"/>
    <w:rsid w:val="005632A7"/>
    <w:pPr>
      <w:widowControl w:val="0"/>
      <w:shd w:val="clear" w:color="auto" w:fill="FFFFFF"/>
      <w:spacing w:after="240" w:line="490" w:lineRule="exact"/>
      <w:ind w:hanging="1960"/>
      <w:outlineLvl w:val="0"/>
    </w:pPr>
    <w:rPr>
      <w:rFonts w:ascii="Times New Roman" w:eastAsia="Times New Roman" w:hAnsi="Times New Roman" w:cs="Times New Roman"/>
      <w:b/>
      <w:bCs/>
      <w:spacing w:val="-3"/>
      <w:sz w:val="26"/>
      <w:szCs w:val="26"/>
    </w:rPr>
  </w:style>
  <w:style w:type="character" w:customStyle="1" w:styleId="3">
    <w:name w:val="Основной текст (3)_"/>
    <w:basedOn w:val="a0"/>
    <w:link w:val="30"/>
    <w:rsid w:val="003801D8"/>
    <w:rPr>
      <w:rFonts w:ascii="Times New Roman" w:eastAsia="Times New Roman" w:hAnsi="Times New Roman" w:cs="Times New Roman"/>
      <w:b/>
      <w:bCs/>
      <w:sz w:val="16"/>
      <w:szCs w:val="16"/>
      <w:shd w:val="clear" w:color="auto" w:fill="FFFFFF"/>
    </w:rPr>
  </w:style>
  <w:style w:type="paragraph" w:customStyle="1" w:styleId="30">
    <w:name w:val="Основной текст (3)"/>
    <w:basedOn w:val="a"/>
    <w:link w:val="3"/>
    <w:rsid w:val="003801D8"/>
    <w:pPr>
      <w:widowControl w:val="0"/>
      <w:shd w:val="clear" w:color="auto" w:fill="FFFFFF"/>
      <w:spacing w:after="0" w:line="461" w:lineRule="exact"/>
    </w:pPr>
    <w:rPr>
      <w:rFonts w:ascii="Times New Roman" w:eastAsia="Times New Roman" w:hAnsi="Times New Roman" w:cs="Times New Roman"/>
      <w:b/>
      <w:bCs/>
      <w:sz w:val="16"/>
      <w:szCs w:val="16"/>
    </w:rPr>
  </w:style>
  <w:style w:type="character" w:customStyle="1" w:styleId="ad">
    <w:name w:val="Подпись к таблице + Не полужирный"/>
    <w:basedOn w:val="ab"/>
    <w:rsid w:val="003801D8"/>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6">
    <w:name w:val="Подпись к таблице (6)_"/>
    <w:basedOn w:val="a0"/>
    <w:link w:val="60"/>
    <w:rsid w:val="003801D8"/>
    <w:rPr>
      <w:rFonts w:ascii="Times New Roman" w:eastAsia="Times New Roman" w:hAnsi="Times New Roman" w:cs="Times New Roman"/>
      <w:b/>
      <w:bCs/>
      <w:sz w:val="16"/>
      <w:szCs w:val="16"/>
      <w:shd w:val="clear" w:color="auto" w:fill="FFFFFF"/>
    </w:rPr>
  </w:style>
  <w:style w:type="paragraph" w:customStyle="1" w:styleId="60">
    <w:name w:val="Подпись к таблице (6)"/>
    <w:basedOn w:val="a"/>
    <w:link w:val="6"/>
    <w:rsid w:val="003801D8"/>
    <w:pPr>
      <w:widowControl w:val="0"/>
      <w:shd w:val="clear" w:color="auto" w:fill="FFFFFF"/>
      <w:spacing w:after="60" w:line="0" w:lineRule="atLeast"/>
    </w:pPr>
    <w:rPr>
      <w:rFonts w:ascii="Times New Roman" w:eastAsia="Times New Roman" w:hAnsi="Times New Roman" w:cs="Times New Roman"/>
      <w:b/>
      <w:bCs/>
      <w:sz w:val="16"/>
      <w:szCs w:val="16"/>
    </w:rPr>
  </w:style>
  <w:style w:type="character" w:customStyle="1" w:styleId="7">
    <w:name w:val="Подпись к картинке (7)_"/>
    <w:basedOn w:val="a0"/>
    <w:rsid w:val="003801D8"/>
    <w:rPr>
      <w:rFonts w:ascii="Arial Unicode MS" w:eastAsia="Arial Unicode MS" w:hAnsi="Arial Unicode MS" w:cs="Arial Unicode MS"/>
      <w:b w:val="0"/>
      <w:bCs w:val="0"/>
      <w:i w:val="0"/>
      <w:iCs w:val="0"/>
      <w:smallCaps w:val="0"/>
      <w:strike w:val="0"/>
      <w:spacing w:val="-5"/>
      <w:sz w:val="13"/>
      <w:szCs w:val="13"/>
      <w:u w:val="none"/>
    </w:rPr>
  </w:style>
  <w:style w:type="character" w:customStyle="1" w:styleId="70">
    <w:name w:val="Подпись к картинке (7)"/>
    <w:basedOn w:val="7"/>
    <w:rsid w:val="003801D8"/>
    <w:rPr>
      <w:rFonts w:ascii="Arial Unicode MS" w:eastAsia="Arial Unicode MS" w:hAnsi="Arial Unicode MS" w:cs="Arial Unicode MS"/>
      <w:b w:val="0"/>
      <w:bCs w:val="0"/>
      <w:i w:val="0"/>
      <w:iCs w:val="0"/>
      <w:smallCaps w:val="0"/>
      <w:strike w:val="0"/>
      <w:color w:val="000000"/>
      <w:spacing w:val="-5"/>
      <w:w w:val="100"/>
      <w:position w:val="0"/>
      <w:sz w:val="13"/>
      <w:szCs w:val="13"/>
      <w:u w:val="single"/>
      <w:lang w:val="en-US" w:eastAsia="en-US" w:bidi="en-US"/>
    </w:rPr>
  </w:style>
  <w:style w:type="character" w:customStyle="1" w:styleId="70pt">
    <w:name w:val="Подпись к картинке (7) + Интервал 0 pt"/>
    <w:basedOn w:val="7"/>
    <w:rsid w:val="003801D8"/>
    <w:rPr>
      <w:rFonts w:ascii="Arial Unicode MS" w:eastAsia="Arial Unicode MS" w:hAnsi="Arial Unicode MS" w:cs="Arial Unicode MS"/>
      <w:b w:val="0"/>
      <w:bCs w:val="0"/>
      <w:i w:val="0"/>
      <w:iCs w:val="0"/>
      <w:smallCaps w:val="0"/>
      <w:strike w:val="0"/>
      <w:color w:val="000000"/>
      <w:spacing w:val="17"/>
      <w:w w:val="100"/>
      <w:position w:val="0"/>
      <w:sz w:val="13"/>
      <w:szCs w:val="13"/>
      <w:u w:val="none"/>
      <w:lang w:val="ru-RU" w:eastAsia="ru-RU" w:bidi="ru-RU"/>
    </w:rPr>
  </w:style>
  <w:style w:type="character" w:customStyle="1" w:styleId="31">
    <w:name w:val="Подпись к картинке (3)_"/>
    <w:basedOn w:val="a0"/>
    <w:link w:val="32"/>
    <w:rsid w:val="003801D8"/>
    <w:rPr>
      <w:rFonts w:ascii="Times New Roman" w:eastAsia="Times New Roman" w:hAnsi="Times New Roman" w:cs="Times New Roman"/>
      <w:b/>
      <w:bCs/>
      <w:sz w:val="16"/>
      <w:szCs w:val="16"/>
      <w:shd w:val="clear" w:color="auto" w:fill="FFFFFF"/>
    </w:rPr>
  </w:style>
  <w:style w:type="paragraph" w:customStyle="1" w:styleId="32">
    <w:name w:val="Подпись к картинке (3)"/>
    <w:basedOn w:val="a"/>
    <w:link w:val="31"/>
    <w:rsid w:val="003801D8"/>
    <w:pPr>
      <w:widowControl w:val="0"/>
      <w:shd w:val="clear" w:color="auto" w:fill="FFFFFF"/>
      <w:spacing w:after="0" w:line="326" w:lineRule="exact"/>
    </w:pPr>
    <w:rPr>
      <w:rFonts w:ascii="Times New Roman" w:eastAsia="Times New Roman" w:hAnsi="Times New Roman" w:cs="Times New Roman"/>
      <w:b/>
      <w:bCs/>
      <w:sz w:val="16"/>
      <w:szCs w:val="16"/>
    </w:rPr>
  </w:style>
  <w:style w:type="character" w:customStyle="1" w:styleId="8pt0pt">
    <w:name w:val="Основной текст + 8 pt;Полужирный;Интервал 0 pt"/>
    <w:basedOn w:val="a3"/>
    <w:rsid w:val="002E3BE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ngsanaUPC12pt0pt">
    <w:name w:val="Основной текст + AngsanaUPC;12 pt;Курсив;Интервал 0 pt"/>
    <w:basedOn w:val="a3"/>
    <w:rsid w:val="002E3BE5"/>
    <w:rPr>
      <w:rFonts w:ascii="AngsanaUPC" w:eastAsia="AngsanaUPC" w:hAnsi="AngsanaUPC" w:cs="AngsanaUPC"/>
      <w:b w:val="0"/>
      <w:bCs w:val="0"/>
      <w:i/>
      <w:iCs/>
      <w:smallCaps w:val="0"/>
      <w:strike w:val="0"/>
      <w:color w:val="000000"/>
      <w:spacing w:val="-5"/>
      <w:w w:val="100"/>
      <w:position w:val="0"/>
      <w:sz w:val="24"/>
      <w:szCs w:val="24"/>
      <w:u w:val="none"/>
      <w:shd w:val="clear" w:color="auto" w:fill="FFFFFF"/>
      <w:lang w:val="ru-RU" w:eastAsia="ru-RU" w:bidi="ru-RU"/>
    </w:rPr>
  </w:style>
  <w:style w:type="character" w:customStyle="1" w:styleId="0pt">
    <w:name w:val="Основной текст + Интервал 0 pt"/>
    <w:basedOn w:val="a3"/>
    <w:rsid w:val="002E3BE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0pt0">
    <w:name w:val="Подпись к таблице + Интервал 0 pt"/>
    <w:basedOn w:val="ab"/>
    <w:rsid w:val="002E3BE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0pt1">
    <w:name w:val="Основной текст + Курсив;Интервал 0 pt"/>
    <w:basedOn w:val="a3"/>
    <w:rsid w:val="002E3B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okmanOldStyle7pt0pt">
    <w:name w:val="Основной текст + Bookman Old Style;7 pt;Интервал 0 pt"/>
    <w:basedOn w:val="a3"/>
    <w:rsid w:val="002E3BE5"/>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0pt2">
    <w:name w:val="Подпись к картинке + Не полужирный;Интервал 0 pt"/>
    <w:basedOn w:val="a8"/>
    <w:rsid w:val="002E3BE5"/>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0pt3">
    <w:name w:val="Подпись к картинке + Интервал 0 pt"/>
    <w:basedOn w:val="a8"/>
    <w:rsid w:val="002E3BE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0pt">
    <w:name w:val="Подпись к картинке (2) + Интервал 0 pt"/>
    <w:basedOn w:val="22"/>
    <w:rsid w:val="002E3BE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styleId="ae">
    <w:name w:val="Hyperlink"/>
    <w:basedOn w:val="a0"/>
    <w:rsid w:val="002E3BE5"/>
    <w:rPr>
      <w:color w:val="0066CC"/>
      <w:u w:val="single"/>
    </w:rPr>
  </w:style>
  <w:style w:type="character" w:customStyle="1" w:styleId="26">
    <w:name w:val="Колонтитул (2)_"/>
    <w:basedOn w:val="a0"/>
    <w:link w:val="27"/>
    <w:rsid w:val="002E3BE5"/>
    <w:rPr>
      <w:rFonts w:ascii="Times New Roman" w:eastAsia="Times New Roman" w:hAnsi="Times New Roman" w:cs="Times New Roman"/>
      <w:spacing w:val="1"/>
      <w:shd w:val="clear" w:color="auto" w:fill="FFFFFF"/>
    </w:rPr>
  </w:style>
  <w:style w:type="character" w:customStyle="1" w:styleId="20pt0">
    <w:name w:val="Колонтитул (2) + Интервал 0 pt"/>
    <w:basedOn w:val="26"/>
    <w:rsid w:val="002E3BE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27">
    <w:name w:val="Колонтитул (2)"/>
    <w:basedOn w:val="a"/>
    <w:link w:val="26"/>
    <w:rsid w:val="002E3BE5"/>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9pt0pt">
    <w:name w:val="Основной текст + 9 pt;Интервал 0 pt"/>
    <w:basedOn w:val="a3"/>
    <w:rsid w:val="002E3BE5"/>
    <w:rPr>
      <w:rFonts w:ascii="Times New Roman" w:eastAsia="Times New Roman" w:hAnsi="Times New Roman" w:cs="Times New Roman"/>
      <w:b w:val="0"/>
      <w:bCs w:val="0"/>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95pt0pt">
    <w:name w:val="Основной текст + 9;5 pt;Интервал 0 pt"/>
    <w:basedOn w:val="a3"/>
    <w:rsid w:val="002E3BE5"/>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ru-RU" w:eastAsia="ru-RU" w:bidi="ru-RU"/>
    </w:rPr>
  </w:style>
  <w:style w:type="character" w:customStyle="1" w:styleId="af">
    <w:name w:val="Основной текст + Полужирный"/>
    <w:basedOn w:val="a3"/>
    <w:rsid w:val="002E3BE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TrebuchetMS95pt0pt">
    <w:name w:val="Основной текст + Trebuchet MS;9;5 pt;Интервал 0 pt"/>
    <w:basedOn w:val="a3"/>
    <w:rsid w:val="002E3BE5"/>
    <w:rPr>
      <w:rFonts w:ascii="Trebuchet MS" w:eastAsia="Trebuchet MS" w:hAnsi="Trebuchet MS" w:cs="Trebuchet MS"/>
      <w:b w:val="0"/>
      <w:bCs w:val="0"/>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TrebuchetMS9pt0pt">
    <w:name w:val="Основной текст + Trebuchet MS;9 pt;Интервал 0 pt"/>
    <w:basedOn w:val="a3"/>
    <w:rsid w:val="002E3BE5"/>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0pt4">
    <w:name w:val="Основной текст + Полужирный;Интервал 0 pt"/>
    <w:basedOn w:val="a3"/>
    <w:rsid w:val="002E3BE5"/>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10pt">
    <w:name w:val="Основной текст + 10 pt"/>
    <w:basedOn w:val="a3"/>
    <w:rsid w:val="002E3BE5"/>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AngsanaUPC15pt">
    <w:name w:val="Основной текст + AngsanaUPC;15 pt"/>
    <w:basedOn w:val="a3"/>
    <w:rsid w:val="002E3BE5"/>
    <w:rPr>
      <w:rFonts w:ascii="AngsanaUPC" w:eastAsia="AngsanaUPC" w:hAnsi="AngsanaUPC" w:cs="AngsanaUPC"/>
      <w:b w:val="0"/>
      <w:bCs w:val="0"/>
      <w:i w:val="0"/>
      <w:iCs w:val="0"/>
      <w:smallCaps w:val="0"/>
      <w:strike w:val="0"/>
      <w:color w:val="000000"/>
      <w:spacing w:val="-1"/>
      <w:w w:val="100"/>
      <w:position w:val="0"/>
      <w:sz w:val="30"/>
      <w:szCs w:val="30"/>
      <w:u w:val="none"/>
      <w:shd w:val="clear" w:color="auto" w:fill="FFFFFF"/>
      <w:lang w:val="ru-RU" w:eastAsia="ru-RU" w:bidi="ru-RU"/>
    </w:rPr>
  </w:style>
  <w:style w:type="character" w:customStyle="1" w:styleId="95pt">
    <w:name w:val="Основной текст + 9;5 pt"/>
    <w:basedOn w:val="a3"/>
    <w:rsid w:val="002E3BE5"/>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styleId="af0">
    <w:name w:val="footnote text"/>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 Знак,Зн,single space,З"/>
    <w:basedOn w:val="a"/>
    <w:link w:val="af1"/>
    <w:uiPriority w:val="99"/>
    <w:unhideWhenUsed/>
    <w:rsid w:val="006643CD"/>
    <w:pPr>
      <w:spacing w:after="0" w:line="240" w:lineRule="auto"/>
    </w:pPr>
    <w:rPr>
      <w:sz w:val="20"/>
      <w:szCs w:val="20"/>
    </w:rPr>
  </w:style>
  <w:style w:type="character" w:customStyle="1" w:styleId="af1">
    <w:name w:val="Текст сноски Знак"/>
    <w:aliases w:val="single space Знак Знак,footnote text Знак Знак,Текст сноски Знак1 Знак Знак,Текст сноски Знак Знак Знак Знак,Текст сноски Знак1 Знак Знак Знак Знак,Текст сноски Знак Знак Знак Знак Знак Знак,-++ Знак Знак,Зн Знак,single space Знак1"/>
    <w:basedOn w:val="a0"/>
    <w:link w:val="af0"/>
    <w:uiPriority w:val="99"/>
    <w:rsid w:val="006643CD"/>
    <w:rPr>
      <w:sz w:val="20"/>
      <w:szCs w:val="20"/>
    </w:rPr>
  </w:style>
  <w:style w:type="character" w:styleId="af2">
    <w:name w:val="footnote reference"/>
    <w:aliases w:val="Знак сноски-FN,Ciae niinee-FN,Знак сноски 1,Referencia nota al pie,SUPERS,анкета сноска,Ciae niinee 1,Текст сноски Знак1,Текст сноски Знак Знак"/>
    <w:basedOn w:val="a0"/>
    <w:uiPriority w:val="99"/>
    <w:unhideWhenUsed/>
    <w:rsid w:val="006643CD"/>
    <w:rPr>
      <w:vertAlign w:val="superscript"/>
    </w:rPr>
  </w:style>
  <w:style w:type="character" w:styleId="af3">
    <w:name w:val="FollowedHyperlink"/>
    <w:basedOn w:val="a0"/>
    <w:uiPriority w:val="99"/>
    <w:semiHidden/>
    <w:unhideWhenUsed/>
    <w:rsid w:val="000E742D"/>
    <w:rPr>
      <w:color w:val="800080" w:themeColor="followedHyperlink"/>
      <w:u w:val="single"/>
    </w:rPr>
  </w:style>
  <w:style w:type="paragraph" w:customStyle="1" w:styleId="Pa12">
    <w:name w:val="Pa12"/>
    <w:basedOn w:val="a"/>
    <w:next w:val="a"/>
    <w:uiPriority w:val="99"/>
    <w:rsid w:val="00F854FD"/>
    <w:pPr>
      <w:autoSpaceDE w:val="0"/>
      <w:autoSpaceDN w:val="0"/>
      <w:adjustRightInd w:val="0"/>
      <w:spacing w:after="0" w:line="221" w:lineRule="atLeast"/>
    </w:pPr>
    <w:rPr>
      <w:rFonts w:ascii="BalticaC" w:hAnsi="BalticaC"/>
      <w:sz w:val="24"/>
      <w:szCs w:val="24"/>
    </w:rPr>
  </w:style>
  <w:style w:type="character" w:customStyle="1" w:styleId="A15">
    <w:name w:val="A15"/>
    <w:uiPriority w:val="99"/>
    <w:rsid w:val="00F854FD"/>
    <w:rPr>
      <w:rFonts w:cs="BalticaC"/>
      <w:color w:val="000000"/>
      <w:sz w:val="12"/>
      <w:szCs w:val="12"/>
    </w:rPr>
  </w:style>
  <w:style w:type="table" w:styleId="af4">
    <w:name w:val="Table Grid"/>
    <w:basedOn w:val="a1"/>
    <w:uiPriority w:val="59"/>
    <w:rsid w:val="004B6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C1028"/>
    <w:pPr>
      <w:ind w:left="720"/>
      <w:contextualSpacing/>
    </w:pPr>
  </w:style>
  <w:style w:type="paragraph" w:customStyle="1" w:styleId="Default">
    <w:name w:val="Default"/>
    <w:rsid w:val="00E40CBE"/>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header"/>
    <w:basedOn w:val="a"/>
    <w:link w:val="af7"/>
    <w:uiPriority w:val="99"/>
    <w:unhideWhenUsed/>
    <w:rsid w:val="0003770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3770F"/>
  </w:style>
  <w:style w:type="paragraph" w:styleId="af8">
    <w:name w:val="footer"/>
    <w:basedOn w:val="a"/>
    <w:link w:val="af9"/>
    <w:uiPriority w:val="99"/>
    <w:unhideWhenUsed/>
    <w:rsid w:val="0003770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3770F"/>
  </w:style>
  <w:style w:type="character" w:customStyle="1" w:styleId="40">
    <w:name w:val="Заголовок 4 Знак"/>
    <w:basedOn w:val="a0"/>
    <w:link w:val="4"/>
    <w:uiPriority w:val="9"/>
    <w:rsid w:val="00C7683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768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632A7"/>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5632A7"/>
    <w:pPr>
      <w:widowControl w:val="0"/>
      <w:shd w:val="clear" w:color="auto" w:fill="FFFFFF"/>
      <w:spacing w:after="360" w:line="0" w:lineRule="atLeast"/>
      <w:jc w:val="center"/>
    </w:pPr>
    <w:rPr>
      <w:rFonts w:ascii="Times New Roman" w:eastAsia="Times New Roman" w:hAnsi="Times New Roman" w:cs="Times New Roman"/>
      <w:spacing w:val="-1"/>
    </w:rPr>
  </w:style>
  <w:style w:type="character" w:customStyle="1" w:styleId="10pt0pt">
    <w:name w:val="Основной текст + 10 pt;Интервал 0 pt"/>
    <w:basedOn w:val="a3"/>
    <w:rsid w:val="005632A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0">
    <w:name w:val="Основной текст (2)_"/>
    <w:basedOn w:val="a0"/>
    <w:link w:val="21"/>
    <w:rsid w:val="005632A7"/>
    <w:rPr>
      <w:rFonts w:ascii="Times New Roman" w:eastAsia="Times New Roman" w:hAnsi="Times New Roman" w:cs="Times New Roman"/>
      <w:b/>
      <w:bCs/>
      <w:spacing w:val="-1"/>
      <w:shd w:val="clear" w:color="auto" w:fill="FFFFFF"/>
    </w:rPr>
  </w:style>
  <w:style w:type="paragraph" w:customStyle="1" w:styleId="21">
    <w:name w:val="Основной текст (2)"/>
    <w:basedOn w:val="a"/>
    <w:link w:val="20"/>
    <w:rsid w:val="005632A7"/>
    <w:pPr>
      <w:widowControl w:val="0"/>
      <w:shd w:val="clear" w:color="auto" w:fill="FFFFFF"/>
      <w:spacing w:after="240" w:line="418" w:lineRule="exact"/>
      <w:ind w:hanging="440"/>
    </w:pPr>
    <w:rPr>
      <w:rFonts w:ascii="Times New Roman" w:eastAsia="Times New Roman" w:hAnsi="Times New Roman" w:cs="Times New Roman"/>
      <w:b/>
      <w:bCs/>
      <w:spacing w:val="-1"/>
    </w:rPr>
  </w:style>
  <w:style w:type="character" w:customStyle="1" w:styleId="1">
    <w:name w:val="Основной текст1"/>
    <w:basedOn w:val="a3"/>
    <w:rsid w:val="005632A7"/>
    <w:rPr>
      <w:rFonts w:ascii="Times New Roman" w:eastAsia="Times New Roman" w:hAnsi="Times New Roman" w:cs="Times New Roman"/>
      <w:b w:val="0"/>
      <w:bCs w:val="0"/>
      <w:i w:val="0"/>
      <w:iCs w:val="0"/>
      <w:smallCaps w:val="0"/>
      <w:strike w:val="0"/>
      <w:color w:val="000000"/>
      <w:spacing w:val="-1"/>
      <w:w w:val="100"/>
      <w:position w:val="0"/>
      <w:sz w:val="22"/>
      <w:szCs w:val="22"/>
      <w:u w:val="single"/>
      <w:shd w:val="clear" w:color="auto" w:fill="FFFFFF"/>
      <w:lang w:val="ru-RU" w:eastAsia="ru-RU" w:bidi="ru-RU"/>
    </w:rPr>
  </w:style>
  <w:style w:type="character" w:customStyle="1" w:styleId="a4">
    <w:name w:val="Сноска_"/>
    <w:basedOn w:val="a0"/>
    <w:link w:val="a5"/>
    <w:rsid w:val="005632A7"/>
    <w:rPr>
      <w:rFonts w:ascii="Times New Roman" w:eastAsia="Times New Roman" w:hAnsi="Times New Roman" w:cs="Times New Roman"/>
      <w:b/>
      <w:bCs/>
      <w:sz w:val="16"/>
      <w:szCs w:val="16"/>
      <w:shd w:val="clear" w:color="auto" w:fill="FFFFFF"/>
    </w:rPr>
  </w:style>
  <w:style w:type="paragraph" w:customStyle="1" w:styleId="a5">
    <w:name w:val="Сноска"/>
    <w:basedOn w:val="a"/>
    <w:link w:val="a4"/>
    <w:rsid w:val="005632A7"/>
    <w:pPr>
      <w:widowControl w:val="0"/>
      <w:shd w:val="clear" w:color="auto" w:fill="FFFFFF"/>
      <w:spacing w:after="0" w:line="230" w:lineRule="exact"/>
      <w:jc w:val="both"/>
    </w:pPr>
    <w:rPr>
      <w:rFonts w:ascii="Times New Roman" w:eastAsia="Times New Roman" w:hAnsi="Times New Roman" w:cs="Times New Roman"/>
      <w:b/>
      <w:bCs/>
      <w:sz w:val="16"/>
      <w:szCs w:val="16"/>
    </w:rPr>
  </w:style>
  <w:style w:type="paragraph" w:styleId="a6">
    <w:name w:val="Balloon Text"/>
    <w:basedOn w:val="a"/>
    <w:link w:val="a7"/>
    <w:uiPriority w:val="99"/>
    <w:semiHidden/>
    <w:unhideWhenUsed/>
    <w:rsid w:val="005632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32A7"/>
    <w:rPr>
      <w:rFonts w:ascii="Tahoma" w:hAnsi="Tahoma" w:cs="Tahoma"/>
      <w:sz w:val="16"/>
      <w:szCs w:val="16"/>
    </w:rPr>
  </w:style>
  <w:style w:type="character" w:customStyle="1" w:styleId="a8">
    <w:name w:val="Подпись к картинке_"/>
    <w:basedOn w:val="a0"/>
    <w:link w:val="a9"/>
    <w:rsid w:val="005632A7"/>
    <w:rPr>
      <w:rFonts w:ascii="Times New Roman" w:eastAsia="Times New Roman" w:hAnsi="Times New Roman" w:cs="Times New Roman"/>
      <w:b/>
      <w:bCs/>
      <w:spacing w:val="-1"/>
      <w:shd w:val="clear" w:color="auto" w:fill="FFFFFF"/>
    </w:rPr>
  </w:style>
  <w:style w:type="character" w:customStyle="1" w:styleId="aa">
    <w:name w:val="Подпись к картинке + Не полужирный"/>
    <w:basedOn w:val="a8"/>
    <w:rsid w:val="005632A7"/>
    <w:rPr>
      <w:rFonts w:ascii="Times New Roman" w:eastAsia="Times New Roman" w:hAnsi="Times New Roman" w:cs="Times New Roman"/>
      <w:b/>
      <w:bCs/>
      <w:color w:val="000000"/>
      <w:spacing w:val="-1"/>
      <w:w w:val="100"/>
      <w:position w:val="0"/>
      <w:shd w:val="clear" w:color="auto" w:fill="FFFFFF"/>
      <w:lang w:val="ru-RU" w:eastAsia="ru-RU" w:bidi="ru-RU"/>
    </w:rPr>
  </w:style>
  <w:style w:type="character" w:customStyle="1" w:styleId="22">
    <w:name w:val="Подпись к картинке (2)_"/>
    <w:basedOn w:val="a0"/>
    <w:link w:val="23"/>
    <w:rsid w:val="005632A7"/>
    <w:rPr>
      <w:rFonts w:ascii="Times New Roman" w:eastAsia="Times New Roman" w:hAnsi="Times New Roman" w:cs="Times New Roman"/>
      <w:spacing w:val="-1"/>
      <w:shd w:val="clear" w:color="auto" w:fill="FFFFFF"/>
    </w:rPr>
  </w:style>
  <w:style w:type="paragraph" w:customStyle="1" w:styleId="a9">
    <w:name w:val="Подпись к картинке"/>
    <w:basedOn w:val="a"/>
    <w:link w:val="a8"/>
    <w:rsid w:val="005632A7"/>
    <w:pPr>
      <w:widowControl w:val="0"/>
      <w:shd w:val="clear" w:color="auto" w:fill="FFFFFF"/>
      <w:spacing w:after="60" w:line="0" w:lineRule="atLeast"/>
      <w:jc w:val="center"/>
    </w:pPr>
    <w:rPr>
      <w:rFonts w:ascii="Times New Roman" w:eastAsia="Times New Roman" w:hAnsi="Times New Roman" w:cs="Times New Roman"/>
      <w:b/>
      <w:bCs/>
      <w:spacing w:val="-1"/>
    </w:rPr>
  </w:style>
  <w:style w:type="paragraph" w:customStyle="1" w:styleId="23">
    <w:name w:val="Подпись к картинке (2)"/>
    <w:basedOn w:val="a"/>
    <w:link w:val="22"/>
    <w:rsid w:val="005632A7"/>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24">
    <w:name w:val="Подпись к таблице (2)_"/>
    <w:basedOn w:val="a0"/>
    <w:link w:val="25"/>
    <w:rsid w:val="005632A7"/>
    <w:rPr>
      <w:rFonts w:ascii="Times New Roman" w:eastAsia="Times New Roman" w:hAnsi="Times New Roman" w:cs="Times New Roman"/>
      <w:spacing w:val="-1"/>
      <w:shd w:val="clear" w:color="auto" w:fill="FFFFFF"/>
    </w:rPr>
  </w:style>
  <w:style w:type="character" w:customStyle="1" w:styleId="ab">
    <w:name w:val="Подпись к таблице_"/>
    <w:basedOn w:val="a0"/>
    <w:rsid w:val="005632A7"/>
    <w:rPr>
      <w:rFonts w:ascii="Times New Roman" w:eastAsia="Times New Roman" w:hAnsi="Times New Roman" w:cs="Times New Roman"/>
      <w:b/>
      <w:bCs/>
      <w:i w:val="0"/>
      <w:iCs w:val="0"/>
      <w:smallCaps w:val="0"/>
      <w:strike w:val="0"/>
      <w:spacing w:val="-1"/>
      <w:sz w:val="22"/>
      <w:szCs w:val="22"/>
      <w:u w:val="none"/>
    </w:rPr>
  </w:style>
  <w:style w:type="character" w:customStyle="1" w:styleId="ac">
    <w:name w:val="Подпись к таблице"/>
    <w:basedOn w:val="ab"/>
    <w:rsid w:val="005632A7"/>
    <w:rPr>
      <w:rFonts w:ascii="Times New Roman" w:eastAsia="Times New Roman" w:hAnsi="Times New Roman" w:cs="Times New Roman"/>
      <w:b/>
      <w:bCs/>
      <w:i w:val="0"/>
      <w:iCs w:val="0"/>
      <w:smallCaps w:val="0"/>
      <w:strike w:val="0"/>
      <w:color w:val="000000"/>
      <w:spacing w:val="-1"/>
      <w:w w:val="100"/>
      <w:position w:val="0"/>
      <w:sz w:val="22"/>
      <w:szCs w:val="22"/>
      <w:u w:val="single"/>
      <w:lang w:val="ru-RU" w:eastAsia="ru-RU" w:bidi="ru-RU"/>
    </w:rPr>
  </w:style>
  <w:style w:type="paragraph" w:customStyle="1" w:styleId="25">
    <w:name w:val="Подпись к таблице (2)"/>
    <w:basedOn w:val="a"/>
    <w:link w:val="24"/>
    <w:rsid w:val="005632A7"/>
    <w:pPr>
      <w:widowControl w:val="0"/>
      <w:shd w:val="clear" w:color="auto" w:fill="FFFFFF"/>
      <w:spacing w:after="60" w:line="0" w:lineRule="atLeast"/>
      <w:jc w:val="right"/>
    </w:pPr>
    <w:rPr>
      <w:rFonts w:ascii="Times New Roman" w:eastAsia="Times New Roman" w:hAnsi="Times New Roman" w:cs="Times New Roman"/>
      <w:spacing w:val="-1"/>
    </w:rPr>
  </w:style>
  <w:style w:type="character" w:customStyle="1" w:styleId="10">
    <w:name w:val="Заголовок №1_"/>
    <w:basedOn w:val="a0"/>
    <w:link w:val="11"/>
    <w:rsid w:val="005632A7"/>
    <w:rPr>
      <w:rFonts w:ascii="Times New Roman" w:eastAsia="Times New Roman" w:hAnsi="Times New Roman" w:cs="Times New Roman"/>
      <w:b/>
      <w:bCs/>
      <w:spacing w:val="-3"/>
      <w:sz w:val="26"/>
      <w:szCs w:val="26"/>
      <w:shd w:val="clear" w:color="auto" w:fill="FFFFFF"/>
    </w:rPr>
  </w:style>
  <w:style w:type="paragraph" w:customStyle="1" w:styleId="11">
    <w:name w:val="Заголовок №1"/>
    <w:basedOn w:val="a"/>
    <w:link w:val="10"/>
    <w:rsid w:val="005632A7"/>
    <w:pPr>
      <w:widowControl w:val="0"/>
      <w:shd w:val="clear" w:color="auto" w:fill="FFFFFF"/>
      <w:spacing w:after="240" w:line="490" w:lineRule="exact"/>
      <w:ind w:hanging="1960"/>
      <w:outlineLvl w:val="0"/>
    </w:pPr>
    <w:rPr>
      <w:rFonts w:ascii="Times New Roman" w:eastAsia="Times New Roman" w:hAnsi="Times New Roman" w:cs="Times New Roman"/>
      <w:b/>
      <w:bCs/>
      <w:spacing w:val="-3"/>
      <w:sz w:val="26"/>
      <w:szCs w:val="26"/>
    </w:rPr>
  </w:style>
  <w:style w:type="character" w:customStyle="1" w:styleId="3">
    <w:name w:val="Основной текст (3)_"/>
    <w:basedOn w:val="a0"/>
    <w:link w:val="30"/>
    <w:rsid w:val="003801D8"/>
    <w:rPr>
      <w:rFonts w:ascii="Times New Roman" w:eastAsia="Times New Roman" w:hAnsi="Times New Roman" w:cs="Times New Roman"/>
      <w:b/>
      <w:bCs/>
      <w:sz w:val="16"/>
      <w:szCs w:val="16"/>
      <w:shd w:val="clear" w:color="auto" w:fill="FFFFFF"/>
    </w:rPr>
  </w:style>
  <w:style w:type="paragraph" w:customStyle="1" w:styleId="30">
    <w:name w:val="Основной текст (3)"/>
    <w:basedOn w:val="a"/>
    <w:link w:val="3"/>
    <w:rsid w:val="003801D8"/>
    <w:pPr>
      <w:widowControl w:val="0"/>
      <w:shd w:val="clear" w:color="auto" w:fill="FFFFFF"/>
      <w:spacing w:after="0" w:line="461" w:lineRule="exact"/>
    </w:pPr>
    <w:rPr>
      <w:rFonts w:ascii="Times New Roman" w:eastAsia="Times New Roman" w:hAnsi="Times New Roman" w:cs="Times New Roman"/>
      <w:b/>
      <w:bCs/>
      <w:sz w:val="16"/>
      <w:szCs w:val="16"/>
    </w:rPr>
  </w:style>
  <w:style w:type="character" w:customStyle="1" w:styleId="ad">
    <w:name w:val="Подпись к таблице + Не полужирный"/>
    <w:basedOn w:val="ab"/>
    <w:rsid w:val="003801D8"/>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6">
    <w:name w:val="Подпись к таблице (6)_"/>
    <w:basedOn w:val="a0"/>
    <w:link w:val="60"/>
    <w:rsid w:val="003801D8"/>
    <w:rPr>
      <w:rFonts w:ascii="Times New Roman" w:eastAsia="Times New Roman" w:hAnsi="Times New Roman" w:cs="Times New Roman"/>
      <w:b/>
      <w:bCs/>
      <w:sz w:val="16"/>
      <w:szCs w:val="16"/>
      <w:shd w:val="clear" w:color="auto" w:fill="FFFFFF"/>
    </w:rPr>
  </w:style>
  <w:style w:type="paragraph" w:customStyle="1" w:styleId="60">
    <w:name w:val="Подпись к таблице (6)"/>
    <w:basedOn w:val="a"/>
    <w:link w:val="6"/>
    <w:rsid w:val="003801D8"/>
    <w:pPr>
      <w:widowControl w:val="0"/>
      <w:shd w:val="clear" w:color="auto" w:fill="FFFFFF"/>
      <w:spacing w:after="60" w:line="0" w:lineRule="atLeast"/>
    </w:pPr>
    <w:rPr>
      <w:rFonts w:ascii="Times New Roman" w:eastAsia="Times New Roman" w:hAnsi="Times New Roman" w:cs="Times New Roman"/>
      <w:b/>
      <w:bCs/>
      <w:sz w:val="16"/>
      <w:szCs w:val="16"/>
    </w:rPr>
  </w:style>
  <w:style w:type="character" w:customStyle="1" w:styleId="7">
    <w:name w:val="Подпись к картинке (7)_"/>
    <w:basedOn w:val="a0"/>
    <w:rsid w:val="003801D8"/>
    <w:rPr>
      <w:rFonts w:ascii="Arial Unicode MS" w:eastAsia="Arial Unicode MS" w:hAnsi="Arial Unicode MS" w:cs="Arial Unicode MS"/>
      <w:b w:val="0"/>
      <w:bCs w:val="0"/>
      <w:i w:val="0"/>
      <w:iCs w:val="0"/>
      <w:smallCaps w:val="0"/>
      <w:strike w:val="0"/>
      <w:spacing w:val="-5"/>
      <w:sz w:val="13"/>
      <w:szCs w:val="13"/>
      <w:u w:val="none"/>
    </w:rPr>
  </w:style>
  <w:style w:type="character" w:customStyle="1" w:styleId="70">
    <w:name w:val="Подпись к картинке (7)"/>
    <w:basedOn w:val="7"/>
    <w:rsid w:val="003801D8"/>
    <w:rPr>
      <w:rFonts w:ascii="Arial Unicode MS" w:eastAsia="Arial Unicode MS" w:hAnsi="Arial Unicode MS" w:cs="Arial Unicode MS"/>
      <w:b w:val="0"/>
      <w:bCs w:val="0"/>
      <w:i w:val="0"/>
      <w:iCs w:val="0"/>
      <w:smallCaps w:val="0"/>
      <w:strike w:val="0"/>
      <w:color w:val="000000"/>
      <w:spacing w:val="-5"/>
      <w:w w:val="100"/>
      <w:position w:val="0"/>
      <w:sz w:val="13"/>
      <w:szCs w:val="13"/>
      <w:u w:val="single"/>
      <w:lang w:val="en-US" w:eastAsia="en-US" w:bidi="en-US"/>
    </w:rPr>
  </w:style>
  <w:style w:type="character" w:customStyle="1" w:styleId="70pt">
    <w:name w:val="Подпись к картинке (7) + Интервал 0 pt"/>
    <w:basedOn w:val="7"/>
    <w:rsid w:val="003801D8"/>
    <w:rPr>
      <w:rFonts w:ascii="Arial Unicode MS" w:eastAsia="Arial Unicode MS" w:hAnsi="Arial Unicode MS" w:cs="Arial Unicode MS"/>
      <w:b w:val="0"/>
      <w:bCs w:val="0"/>
      <w:i w:val="0"/>
      <w:iCs w:val="0"/>
      <w:smallCaps w:val="0"/>
      <w:strike w:val="0"/>
      <w:color w:val="000000"/>
      <w:spacing w:val="17"/>
      <w:w w:val="100"/>
      <w:position w:val="0"/>
      <w:sz w:val="13"/>
      <w:szCs w:val="13"/>
      <w:u w:val="none"/>
      <w:lang w:val="ru-RU" w:eastAsia="ru-RU" w:bidi="ru-RU"/>
    </w:rPr>
  </w:style>
  <w:style w:type="character" w:customStyle="1" w:styleId="31">
    <w:name w:val="Подпись к картинке (3)_"/>
    <w:basedOn w:val="a0"/>
    <w:link w:val="32"/>
    <w:rsid w:val="003801D8"/>
    <w:rPr>
      <w:rFonts w:ascii="Times New Roman" w:eastAsia="Times New Roman" w:hAnsi="Times New Roman" w:cs="Times New Roman"/>
      <w:b/>
      <w:bCs/>
      <w:sz w:val="16"/>
      <w:szCs w:val="16"/>
      <w:shd w:val="clear" w:color="auto" w:fill="FFFFFF"/>
    </w:rPr>
  </w:style>
  <w:style w:type="paragraph" w:customStyle="1" w:styleId="32">
    <w:name w:val="Подпись к картинке (3)"/>
    <w:basedOn w:val="a"/>
    <w:link w:val="31"/>
    <w:rsid w:val="003801D8"/>
    <w:pPr>
      <w:widowControl w:val="0"/>
      <w:shd w:val="clear" w:color="auto" w:fill="FFFFFF"/>
      <w:spacing w:after="0" w:line="326" w:lineRule="exact"/>
    </w:pPr>
    <w:rPr>
      <w:rFonts w:ascii="Times New Roman" w:eastAsia="Times New Roman" w:hAnsi="Times New Roman" w:cs="Times New Roman"/>
      <w:b/>
      <w:bCs/>
      <w:sz w:val="16"/>
      <w:szCs w:val="16"/>
    </w:rPr>
  </w:style>
  <w:style w:type="character" w:customStyle="1" w:styleId="8pt0pt">
    <w:name w:val="Основной текст + 8 pt;Полужирный;Интервал 0 pt"/>
    <w:basedOn w:val="a3"/>
    <w:rsid w:val="002E3BE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ngsanaUPC12pt0pt">
    <w:name w:val="Основной текст + AngsanaUPC;12 pt;Курсив;Интервал 0 pt"/>
    <w:basedOn w:val="a3"/>
    <w:rsid w:val="002E3BE5"/>
    <w:rPr>
      <w:rFonts w:ascii="AngsanaUPC" w:eastAsia="AngsanaUPC" w:hAnsi="AngsanaUPC" w:cs="AngsanaUPC"/>
      <w:b w:val="0"/>
      <w:bCs w:val="0"/>
      <w:i/>
      <w:iCs/>
      <w:smallCaps w:val="0"/>
      <w:strike w:val="0"/>
      <w:color w:val="000000"/>
      <w:spacing w:val="-5"/>
      <w:w w:val="100"/>
      <w:position w:val="0"/>
      <w:sz w:val="24"/>
      <w:szCs w:val="24"/>
      <w:u w:val="none"/>
      <w:shd w:val="clear" w:color="auto" w:fill="FFFFFF"/>
      <w:lang w:val="ru-RU" w:eastAsia="ru-RU" w:bidi="ru-RU"/>
    </w:rPr>
  </w:style>
  <w:style w:type="character" w:customStyle="1" w:styleId="0pt">
    <w:name w:val="Основной текст + Интервал 0 pt"/>
    <w:basedOn w:val="a3"/>
    <w:rsid w:val="002E3BE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0pt0">
    <w:name w:val="Подпись к таблице + Интервал 0 pt"/>
    <w:basedOn w:val="ab"/>
    <w:rsid w:val="002E3BE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0pt1">
    <w:name w:val="Основной текст + Курсив;Интервал 0 pt"/>
    <w:basedOn w:val="a3"/>
    <w:rsid w:val="002E3B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okmanOldStyle7pt0pt">
    <w:name w:val="Основной текст + Bookman Old Style;7 pt;Интервал 0 pt"/>
    <w:basedOn w:val="a3"/>
    <w:rsid w:val="002E3BE5"/>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0pt2">
    <w:name w:val="Подпись к картинке + Не полужирный;Интервал 0 pt"/>
    <w:basedOn w:val="a8"/>
    <w:rsid w:val="002E3BE5"/>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0pt3">
    <w:name w:val="Подпись к картинке + Интервал 0 pt"/>
    <w:basedOn w:val="a8"/>
    <w:rsid w:val="002E3BE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0pt">
    <w:name w:val="Подпись к картинке (2) + Интервал 0 pt"/>
    <w:basedOn w:val="22"/>
    <w:rsid w:val="002E3BE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styleId="ae">
    <w:name w:val="Hyperlink"/>
    <w:basedOn w:val="a0"/>
    <w:rsid w:val="002E3BE5"/>
    <w:rPr>
      <w:color w:val="0066CC"/>
      <w:u w:val="single"/>
    </w:rPr>
  </w:style>
  <w:style w:type="character" w:customStyle="1" w:styleId="26">
    <w:name w:val="Колонтитул (2)_"/>
    <w:basedOn w:val="a0"/>
    <w:link w:val="27"/>
    <w:rsid w:val="002E3BE5"/>
    <w:rPr>
      <w:rFonts w:ascii="Times New Roman" w:eastAsia="Times New Roman" w:hAnsi="Times New Roman" w:cs="Times New Roman"/>
      <w:spacing w:val="1"/>
      <w:shd w:val="clear" w:color="auto" w:fill="FFFFFF"/>
    </w:rPr>
  </w:style>
  <w:style w:type="character" w:customStyle="1" w:styleId="20pt0">
    <w:name w:val="Колонтитул (2) + Интервал 0 pt"/>
    <w:basedOn w:val="26"/>
    <w:rsid w:val="002E3BE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27">
    <w:name w:val="Колонтитул (2)"/>
    <w:basedOn w:val="a"/>
    <w:link w:val="26"/>
    <w:rsid w:val="002E3BE5"/>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9pt0pt">
    <w:name w:val="Основной текст + 9 pt;Интервал 0 pt"/>
    <w:basedOn w:val="a3"/>
    <w:rsid w:val="002E3BE5"/>
    <w:rPr>
      <w:rFonts w:ascii="Times New Roman" w:eastAsia="Times New Roman" w:hAnsi="Times New Roman" w:cs="Times New Roman"/>
      <w:b w:val="0"/>
      <w:bCs w:val="0"/>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95pt0pt">
    <w:name w:val="Основной текст + 9;5 pt;Интервал 0 pt"/>
    <w:basedOn w:val="a3"/>
    <w:rsid w:val="002E3BE5"/>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ru-RU" w:eastAsia="ru-RU" w:bidi="ru-RU"/>
    </w:rPr>
  </w:style>
  <w:style w:type="character" w:customStyle="1" w:styleId="af">
    <w:name w:val="Основной текст + Полужирный"/>
    <w:basedOn w:val="a3"/>
    <w:rsid w:val="002E3BE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TrebuchetMS95pt0pt">
    <w:name w:val="Основной текст + Trebuchet MS;9;5 pt;Интервал 0 pt"/>
    <w:basedOn w:val="a3"/>
    <w:rsid w:val="002E3BE5"/>
    <w:rPr>
      <w:rFonts w:ascii="Trebuchet MS" w:eastAsia="Trebuchet MS" w:hAnsi="Trebuchet MS" w:cs="Trebuchet MS"/>
      <w:b w:val="0"/>
      <w:bCs w:val="0"/>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TrebuchetMS9pt0pt">
    <w:name w:val="Основной текст + Trebuchet MS;9 pt;Интервал 0 pt"/>
    <w:basedOn w:val="a3"/>
    <w:rsid w:val="002E3BE5"/>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0pt4">
    <w:name w:val="Основной текст + Полужирный;Интервал 0 pt"/>
    <w:basedOn w:val="a3"/>
    <w:rsid w:val="002E3BE5"/>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10pt">
    <w:name w:val="Основной текст + 10 pt"/>
    <w:basedOn w:val="a3"/>
    <w:rsid w:val="002E3BE5"/>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AngsanaUPC15pt">
    <w:name w:val="Основной текст + AngsanaUPC;15 pt"/>
    <w:basedOn w:val="a3"/>
    <w:rsid w:val="002E3BE5"/>
    <w:rPr>
      <w:rFonts w:ascii="AngsanaUPC" w:eastAsia="AngsanaUPC" w:hAnsi="AngsanaUPC" w:cs="AngsanaUPC"/>
      <w:b w:val="0"/>
      <w:bCs w:val="0"/>
      <w:i w:val="0"/>
      <w:iCs w:val="0"/>
      <w:smallCaps w:val="0"/>
      <w:strike w:val="0"/>
      <w:color w:val="000000"/>
      <w:spacing w:val="-1"/>
      <w:w w:val="100"/>
      <w:position w:val="0"/>
      <w:sz w:val="30"/>
      <w:szCs w:val="30"/>
      <w:u w:val="none"/>
      <w:shd w:val="clear" w:color="auto" w:fill="FFFFFF"/>
      <w:lang w:val="ru-RU" w:eastAsia="ru-RU" w:bidi="ru-RU"/>
    </w:rPr>
  </w:style>
  <w:style w:type="character" w:customStyle="1" w:styleId="95pt">
    <w:name w:val="Основной текст + 9;5 pt"/>
    <w:basedOn w:val="a3"/>
    <w:rsid w:val="002E3BE5"/>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styleId="af0">
    <w:name w:val="footnote text"/>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 Знак,Зн,single space,З"/>
    <w:basedOn w:val="a"/>
    <w:link w:val="af1"/>
    <w:uiPriority w:val="99"/>
    <w:unhideWhenUsed/>
    <w:rsid w:val="006643CD"/>
    <w:pPr>
      <w:spacing w:after="0" w:line="240" w:lineRule="auto"/>
    </w:pPr>
    <w:rPr>
      <w:sz w:val="20"/>
      <w:szCs w:val="20"/>
    </w:rPr>
  </w:style>
  <w:style w:type="character" w:customStyle="1" w:styleId="af1">
    <w:name w:val="Текст сноски Знак"/>
    <w:aliases w:val="single space Знак Знак,footnote text Знак Знак,Текст сноски Знак1 Знак Знак,Текст сноски Знак Знак Знак Знак,Текст сноски Знак1 Знак Знак Знак Знак,Текст сноски Знак Знак Знак Знак Знак Знак,-++ Знак Знак,Зн Знак,single space Знак1"/>
    <w:basedOn w:val="a0"/>
    <w:link w:val="af0"/>
    <w:uiPriority w:val="99"/>
    <w:rsid w:val="006643CD"/>
    <w:rPr>
      <w:sz w:val="20"/>
      <w:szCs w:val="20"/>
    </w:rPr>
  </w:style>
  <w:style w:type="character" w:styleId="af2">
    <w:name w:val="footnote reference"/>
    <w:aliases w:val="Знак сноски-FN,Ciae niinee-FN,Знак сноски 1,Referencia nota al pie,SUPERS,анкета сноска,Ciae niinee 1,Текст сноски Знак1,Текст сноски Знак Знак"/>
    <w:basedOn w:val="a0"/>
    <w:uiPriority w:val="99"/>
    <w:unhideWhenUsed/>
    <w:rsid w:val="006643CD"/>
    <w:rPr>
      <w:vertAlign w:val="superscript"/>
    </w:rPr>
  </w:style>
  <w:style w:type="character" w:styleId="af3">
    <w:name w:val="FollowedHyperlink"/>
    <w:basedOn w:val="a0"/>
    <w:uiPriority w:val="99"/>
    <w:semiHidden/>
    <w:unhideWhenUsed/>
    <w:rsid w:val="000E742D"/>
    <w:rPr>
      <w:color w:val="800080" w:themeColor="followedHyperlink"/>
      <w:u w:val="single"/>
    </w:rPr>
  </w:style>
  <w:style w:type="paragraph" w:customStyle="1" w:styleId="Pa12">
    <w:name w:val="Pa12"/>
    <w:basedOn w:val="a"/>
    <w:next w:val="a"/>
    <w:uiPriority w:val="99"/>
    <w:rsid w:val="00F854FD"/>
    <w:pPr>
      <w:autoSpaceDE w:val="0"/>
      <w:autoSpaceDN w:val="0"/>
      <w:adjustRightInd w:val="0"/>
      <w:spacing w:after="0" w:line="221" w:lineRule="atLeast"/>
    </w:pPr>
    <w:rPr>
      <w:rFonts w:ascii="BalticaC" w:hAnsi="BalticaC"/>
      <w:sz w:val="24"/>
      <w:szCs w:val="24"/>
    </w:rPr>
  </w:style>
  <w:style w:type="character" w:customStyle="1" w:styleId="A15">
    <w:name w:val="A15"/>
    <w:uiPriority w:val="99"/>
    <w:rsid w:val="00F854FD"/>
    <w:rPr>
      <w:rFonts w:cs="BalticaC"/>
      <w:color w:val="000000"/>
      <w:sz w:val="12"/>
      <w:szCs w:val="12"/>
    </w:rPr>
  </w:style>
  <w:style w:type="table" w:styleId="af4">
    <w:name w:val="Table Grid"/>
    <w:basedOn w:val="a1"/>
    <w:uiPriority w:val="59"/>
    <w:rsid w:val="004B6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C1028"/>
    <w:pPr>
      <w:ind w:left="720"/>
      <w:contextualSpacing/>
    </w:pPr>
  </w:style>
  <w:style w:type="paragraph" w:customStyle="1" w:styleId="Default">
    <w:name w:val="Default"/>
    <w:rsid w:val="00E40CBE"/>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header"/>
    <w:basedOn w:val="a"/>
    <w:link w:val="af7"/>
    <w:uiPriority w:val="99"/>
    <w:unhideWhenUsed/>
    <w:rsid w:val="0003770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3770F"/>
  </w:style>
  <w:style w:type="paragraph" w:styleId="af8">
    <w:name w:val="footer"/>
    <w:basedOn w:val="a"/>
    <w:link w:val="af9"/>
    <w:uiPriority w:val="99"/>
    <w:unhideWhenUsed/>
    <w:rsid w:val="0003770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3770F"/>
  </w:style>
  <w:style w:type="character" w:customStyle="1" w:styleId="40">
    <w:name w:val="Заголовок 4 Знак"/>
    <w:basedOn w:val="a0"/>
    <w:link w:val="4"/>
    <w:uiPriority w:val="9"/>
    <w:rsid w:val="00C7683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89524728603878E-2"/>
          <c:y val="4.3607532210109018E-2"/>
          <c:w val="0.88662615731159167"/>
          <c:h val="0.65523414836303362"/>
        </c:manualLayout>
      </c:layout>
      <c:barChart>
        <c:barDir val="col"/>
        <c:grouping val="clustered"/>
        <c:varyColors val="0"/>
        <c:ser>
          <c:idx val="0"/>
          <c:order val="0"/>
          <c:tx>
            <c:strRef>
              <c:f>Лист1!$B$1</c:f>
              <c:strCache>
                <c:ptCount val="1"/>
                <c:pt idx="0">
                  <c:v>Государственный долг регионов РФ, млрд. руб.</c:v>
                </c:pt>
              </c:strCache>
            </c:strRef>
          </c:tx>
          <c:spPr>
            <a:solidFill>
              <a:srgbClr val="FFFF00"/>
            </a:solidFill>
          </c:spPr>
          <c:invertIfNegative val="0"/>
          <c:dLbls>
            <c:txPr>
              <a:bodyPr/>
              <a:lstStyle/>
              <a:p>
                <a:pPr>
                  <a:defRPr sz="1000"/>
                </a:pPr>
                <a:endParaRPr lang="ru-RU"/>
              </a:p>
            </c:txPr>
            <c:dLblPos val="inBase"/>
            <c:showLegendKey val="0"/>
            <c:showVal val="1"/>
            <c:showCatName val="0"/>
            <c:showSerName val="0"/>
            <c:showPercent val="0"/>
            <c:showBubbleSize val="0"/>
            <c:showLeaderLines val="0"/>
          </c:dLbls>
          <c:cat>
            <c:strRef>
              <c:f>Лист1!$A$2:$A$11</c:f>
              <c:strCache>
                <c:ptCount val="10"/>
                <c:pt idx="0">
                  <c:v>2007 г.</c:v>
                </c:pt>
                <c:pt idx="1">
                  <c:v>2008 г.</c:v>
                </c:pt>
                <c:pt idx="2">
                  <c:v>2009 г.</c:v>
                </c:pt>
                <c:pt idx="3">
                  <c:v>2010 г.</c:v>
                </c:pt>
                <c:pt idx="4">
                  <c:v>2011 г.</c:v>
                </c:pt>
                <c:pt idx="5">
                  <c:v>2012 г.</c:v>
                </c:pt>
                <c:pt idx="6">
                  <c:v>2013 г.</c:v>
                </c:pt>
                <c:pt idx="7">
                  <c:v>2014 г.</c:v>
                </c:pt>
                <c:pt idx="8">
                  <c:v>2015 г.</c:v>
                </c:pt>
                <c:pt idx="9">
                  <c:v>2016 г.</c:v>
                </c:pt>
              </c:strCache>
            </c:strRef>
          </c:cat>
          <c:val>
            <c:numRef>
              <c:f>Лист1!$B$2:$B$11</c:f>
              <c:numCache>
                <c:formatCode>General</c:formatCode>
                <c:ptCount val="10"/>
                <c:pt idx="0">
                  <c:v>458.7</c:v>
                </c:pt>
                <c:pt idx="1">
                  <c:v>601.20000000000005</c:v>
                </c:pt>
                <c:pt idx="2">
                  <c:v>890.8</c:v>
                </c:pt>
                <c:pt idx="3">
                  <c:v>1096</c:v>
                </c:pt>
                <c:pt idx="4">
                  <c:v>1171.8</c:v>
                </c:pt>
                <c:pt idx="5">
                  <c:v>1351.4</c:v>
                </c:pt>
                <c:pt idx="6">
                  <c:v>1737.5</c:v>
                </c:pt>
                <c:pt idx="7">
                  <c:v>2089.5</c:v>
                </c:pt>
                <c:pt idx="8">
                  <c:v>2318.6</c:v>
                </c:pt>
                <c:pt idx="9">
                  <c:v>2353.1999999999998</c:v>
                </c:pt>
              </c:numCache>
            </c:numRef>
          </c:val>
        </c:ser>
        <c:dLbls>
          <c:showLegendKey val="0"/>
          <c:showVal val="0"/>
          <c:showCatName val="0"/>
          <c:showSerName val="0"/>
          <c:showPercent val="0"/>
          <c:showBubbleSize val="0"/>
        </c:dLbls>
        <c:gapWidth val="50"/>
        <c:axId val="151449984"/>
        <c:axId val="151451520"/>
      </c:barChart>
      <c:lineChart>
        <c:grouping val="standard"/>
        <c:varyColors val="0"/>
        <c:ser>
          <c:idx val="1"/>
          <c:order val="1"/>
          <c:tx>
            <c:strRef>
              <c:f>Лист1!$C$1</c:f>
              <c:strCache>
                <c:ptCount val="1"/>
                <c:pt idx="0">
                  <c:v>Государственный долг регионов РФ, % к налоговым и неналоговым доходам региональных бюджетов</c:v>
                </c:pt>
              </c:strCache>
            </c:strRef>
          </c:tx>
          <c:dLbls>
            <c:dLbl>
              <c:idx val="8"/>
              <c:layout>
                <c:manualLayout>
                  <c:x val="-3.8546875428670899E-2"/>
                  <c:y val="-3.4682591476993076E-2"/>
                </c:manualLayout>
              </c:layout>
              <c:dLblPos val="r"/>
              <c:showLegendKey val="0"/>
              <c:showVal val="1"/>
              <c:showCatName val="0"/>
              <c:showSerName val="0"/>
              <c:showPercent val="0"/>
              <c:showBubbleSize val="0"/>
            </c:dLbl>
            <c:dLbl>
              <c:idx val="9"/>
              <c:layout>
                <c:manualLayout>
                  <c:x val="-3.2435637488441908E-2"/>
                  <c:y val="-4.3833569984079862E-2"/>
                </c:manualLayout>
              </c:layout>
              <c:dLblPos val="r"/>
              <c:showLegendKey val="0"/>
              <c:showVal val="1"/>
              <c:showCatName val="0"/>
              <c:showSerName val="0"/>
              <c:showPercent val="0"/>
              <c:showBubbleSize val="0"/>
            </c:dLbl>
            <c:txPr>
              <a:bodyPr/>
              <a:lstStyle/>
              <a:p>
                <a:pPr>
                  <a:defRPr sz="1000" i="0"/>
                </a:pPr>
                <a:endParaRPr lang="ru-RU"/>
              </a:p>
            </c:txPr>
            <c:dLblPos val="t"/>
            <c:showLegendKey val="0"/>
            <c:showVal val="1"/>
            <c:showCatName val="0"/>
            <c:showSerName val="0"/>
            <c:showPercent val="0"/>
            <c:showBubbleSize val="0"/>
            <c:showLeaderLines val="0"/>
          </c:dLbls>
          <c:cat>
            <c:strRef>
              <c:f>Лист1!$A$2:$A$11</c:f>
              <c:strCache>
                <c:ptCount val="10"/>
                <c:pt idx="0">
                  <c:v>2007 г.</c:v>
                </c:pt>
                <c:pt idx="1">
                  <c:v>2008 г.</c:v>
                </c:pt>
                <c:pt idx="2">
                  <c:v>2009 г.</c:v>
                </c:pt>
                <c:pt idx="3">
                  <c:v>2010 г.</c:v>
                </c:pt>
                <c:pt idx="4">
                  <c:v>2011 г.</c:v>
                </c:pt>
                <c:pt idx="5">
                  <c:v>2012 г.</c:v>
                </c:pt>
                <c:pt idx="6">
                  <c:v>2013 г.</c:v>
                </c:pt>
                <c:pt idx="7">
                  <c:v>2014 г.</c:v>
                </c:pt>
                <c:pt idx="8">
                  <c:v>2015 г.</c:v>
                </c:pt>
                <c:pt idx="9">
                  <c:v>2016 г.</c:v>
                </c:pt>
              </c:strCache>
            </c:strRef>
          </c:cat>
          <c:val>
            <c:numRef>
              <c:f>Лист1!$C$2:$C$11</c:f>
              <c:numCache>
                <c:formatCode>0.0</c:formatCode>
                <c:ptCount val="10"/>
                <c:pt idx="0">
                  <c:v>17.115671641791046</c:v>
                </c:pt>
                <c:pt idx="1">
                  <c:v>15.244953849274776</c:v>
                </c:pt>
                <c:pt idx="2">
                  <c:v>27.000484966052372</c:v>
                </c:pt>
                <c:pt idx="3">
                  <c:v>27.908634870515137</c:v>
                </c:pt>
                <c:pt idx="4">
                  <c:v>25.096913752114965</c:v>
                </c:pt>
                <c:pt idx="5">
                  <c:v>26.067164323052296</c:v>
                </c:pt>
                <c:pt idx="6">
                  <c:v>32.970890735891309</c:v>
                </c:pt>
                <c:pt idx="7">
                  <c:v>35.377478285898107</c:v>
                </c:pt>
                <c:pt idx="8">
                  <c:v>36.535825152455836</c:v>
                </c:pt>
                <c:pt idx="9">
                  <c:v>33.823465999741273</c:v>
                </c:pt>
              </c:numCache>
            </c:numRef>
          </c:val>
          <c:smooth val="0"/>
        </c:ser>
        <c:dLbls>
          <c:showLegendKey val="0"/>
          <c:showVal val="0"/>
          <c:showCatName val="0"/>
          <c:showSerName val="0"/>
          <c:showPercent val="0"/>
          <c:showBubbleSize val="0"/>
        </c:dLbls>
        <c:marker val="1"/>
        <c:smooth val="0"/>
        <c:axId val="151479424"/>
        <c:axId val="151453056"/>
      </c:lineChart>
      <c:catAx>
        <c:axId val="151449984"/>
        <c:scaling>
          <c:orientation val="minMax"/>
        </c:scaling>
        <c:delete val="0"/>
        <c:axPos val="b"/>
        <c:majorTickMark val="out"/>
        <c:minorTickMark val="none"/>
        <c:tickLblPos val="nextTo"/>
        <c:crossAx val="151451520"/>
        <c:crosses val="autoZero"/>
        <c:auto val="1"/>
        <c:lblAlgn val="ctr"/>
        <c:lblOffset val="100"/>
        <c:noMultiLvlLbl val="0"/>
      </c:catAx>
      <c:valAx>
        <c:axId val="151451520"/>
        <c:scaling>
          <c:orientation val="minMax"/>
          <c:min val="400"/>
        </c:scaling>
        <c:delete val="0"/>
        <c:axPos val="l"/>
        <c:majorGridlines>
          <c:spPr>
            <a:ln>
              <a:noFill/>
            </a:ln>
          </c:spPr>
        </c:majorGridlines>
        <c:numFmt formatCode="General" sourceLinked="1"/>
        <c:majorTickMark val="out"/>
        <c:minorTickMark val="none"/>
        <c:tickLblPos val="nextTo"/>
        <c:txPr>
          <a:bodyPr/>
          <a:lstStyle/>
          <a:p>
            <a:pPr>
              <a:defRPr sz="800"/>
            </a:pPr>
            <a:endParaRPr lang="ru-RU"/>
          </a:p>
        </c:txPr>
        <c:crossAx val="151449984"/>
        <c:crosses val="autoZero"/>
        <c:crossBetween val="between"/>
      </c:valAx>
      <c:valAx>
        <c:axId val="151453056"/>
        <c:scaling>
          <c:orientation val="minMax"/>
          <c:min val="10"/>
        </c:scaling>
        <c:delete val="0"/>
        <c:axPos val="r"/>
        <c:numFmt formatCode="0.0" sourceLinked="1"/>
        <c:majorTickMark val="out"/>
        <c:minorTickMark val="none"/>
        <c:tickLblPos val="nextTo"/>
        <c:txPr>
          <a:bodyPr/>
          <a:lstStyle/>
          <a:p>
            <a:pPr>
              <a:defRPr sz="800"/>
            </a:pPr>
            <a:endParaRPr lang="ru-RU"/>
          </a:p>
        </c:txPr>
        <c:crossAx val="151479424"/>
        <c:crosses val="max"/>
        <c:crossBetween val="between"/>
      </c:valAx>
      <c:catAx>
        <c:axId val="151479424"/>
        <c:scaling>
          <c:orientation val="minMax"/>
        </c:scaling>
        <c:delete val="1"/>
        <c:axPos val="b"/>
        <c:majorTickMark val="out"/>
        <c:minorTickMark val="none"/>
        <c:tickLblPos val="nextTo"/>
        <c:crossAx val="151453056"/>
        <c:crosses val="autoZero"/>
        <c:auto val="1"/>
        <c:lblAlgn val="ctr"/>
        <c:lblOffset val="100"/>
        <c:noMultiLvlLbl val="0"/>
      </c:catAx>
    </c:plotArea>
    <c:legend>
      <c:legendPos val="b"/>
      <c:layout>
        <c:manualLayout>
          <c:xMode val="edge"/>
          <c:yMode val="edge"/>
          <c:x val="1.3777817789037682E-2"/>
          <c:y val="0.79085232386827153"/>
          <c:w val="0.96056038957793566"/>
          <c:h val="0.18535779881818634"/>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20863513016187E-2"/>
          <c:y val="4.1548630783758263E-2"/>
          <c:w val="0.86129437980498968"/>
          <c:h val="0.67016553328561201"/>
        </c:manualLayout>
      </c:layout>
      <c:barChart>
        <c:barDir val="col"/>
        <c:grouping val="stacked"/>
        <c:varyColors val="0"/>
        <c:ser>
          <c:idx val="0"/>
          <c:order val="0"/>
          <c:tx>
            <c:strRef>
              <c:f>Лист1!$B$1</c:f>
              <c:strCache>
                <c:ptCount val="1"/>
                <c:pt idx="0">
                  <c:v>Расходы на обслуживание государственного долга регионов РФ, млрд. руб.</c:v>
                </c:pt>
              </c:strCache>
            </c:strRef>
          </c:tx>
          <c:spPr>
            <a:solidFill>
              <a:srgbClr val="FFC00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Лист1!$A$2:$A$11</c:f>
              <c:strCache>
                <c:ptCount val="10"/>
                <c:pt idx="0">
                  <c:v>2007 г.</c:v>
                </c:pt>
                <c:pt idx="1">
                  <c:v>2008 г.</c:v>
                </c:pt>
                <c:pt idx="2">
                  <c:v>2009 г.</c:v>
                </c:pt>
                <c:pt idx="3">
                  <c:v>2010 г.</c:v>
                </c:pt>
                <c:pt idx="4">
                  <c:v>2011 г.</c:v>
                </c:pt>
                <c:pt idx="5">
                  <c:v>2012 г.</c:v>
                </c:pt>
                <c:pt idx="6">
                  <c:v>2013 г.</c:v>
                </c:pt>
                <c:pt idx="7">
                  <c:v>2014 г.</c:v>
                </c:pt>
                <c:pt idx="8">
                  <c:v>2015 г.</c:v>
                </c:pt>
                <c:pt idx="9">
                  <c:v>2016 г.</c:v>
                </c:pt>
              </c:strCache>
            </c:strRef>
          </c:cat>
          <c:val>
            <c:numRef>
              <c:f>Лист1!$B$2:$B$11</c:f>
              <c:numCache>
                <c:formatCode>General</c:formatCode>
                <c:ptCount val="10"/>
                <c:pt idx="0">
                  <c:v>27.9</c:v>
                </c:pt>
                <c:pt idx="1">
                  <c:v>31.2</c:v>
                </c:pt>
                <c:pt idx="2">
                  <c:v>54.3</c:v>
                </c:pt>
                <c:pt idx="3">
                  <c:v>63.5</c:v>
                </c:pt>
                <c:pt idx="4">
                  <c:v>69.3</c:v>
                </c:pt>
                <c:pt idx="5">
                  <c:v>66.3</c:v>
                </c:pt>
                <c:pt idx="6">
                  <c:v>79.900000000000006</c:v>
                </c:pt>
                <c:pt idx="7">
                  <c:v>106.2</c:v>
                </c:pt>
                <c:pt idx="8">
                  <c:v>128.5</c:v>
                </c:pt>
                <c:pt idx="9">
                  <c:v>128.4</c:v>
                </c:pt>
              </c:numCache>
            </c:numRef>
          </c:val>
        </c:ser>
        <c:ser>
          <c:idx val="1"/>
          <c:order val="1"/>
          <c:tx>
            <c:strRef>
              <c:f>Лист1!$C$1</c:f>
              <c:strCache>
                <c:ptCount val="1"/>
                <c:pt idx="0">
                  <c:v>Расходы на погашение государственного долга регионов РФ, млрд. руб.</c:v>
                </c:pt>
              </c:strCache>
            </c:strRef>
          </c:tx>
          <c:spPr>
            <a:solidFill>
              <a:srgbClr val="FFFF00"/>
            </a:solidFill>
          </c:spPr>
          <c:invertIfNegative val="0"/>
          <c:dLbls>
            <c:txPr>
              <a:bodyPr/>
              <a:lstStyle/>
              <a:p>
                <a:pPr>
                  <a:defRPr sz="900"/>
                </a:pPr>
                <a:endParaRPr lang="ru-RU"/>
              </a:p>
            </c:txPr>
            <c:showLegendKey val="0"/>
            <c:showVal val="1"/>
            <c:showCatName val="0"/>
            <c:showSerName val="0"/>
            <c:showPercent val="0"/>
            <c:showBubbleSize val="0"/>
            <c:showLeaderLines val="0"/>
          </c:dLbls>
          <c:cat>
            <c:strRef>
              <c:f>Лист1!$A$2:$A$11</c:f>
              <c:strCache>
                <c:ptCount val="10"/>
                <c:pt idx="0">
                  <c:v>2007 г.</c:v>
                </c:pt>
                <c:pt idx="1">
                  <c:v>2008 г.</c:v>
                </c:pt>
                <c:pt idx="2">
                  <c:v>2009 г.</c:v>
                </c:pt>
                <c:pt idx="3">
                  <c:v>2010 г.</c:v>
                </c:pt>
                <c:pt idx="4">
                  <c:v>2011 г.</c:v>
                </c:pt>
                <c:pt idx="5">
                  <c:v>2012 г.</c:v>
                </c:pt>
                <c:pt idx="6">
                  <c:v>2013 г.</c:v>
                </c:pt>
                <c:pt idx="7">
                  <c:v>2014 г.</c:v>
                </c:pt>
                <c:pt idx="8">
                  <c:v>2015 г.</c:v>
                </c:pt>
                <c:pt idx="9">
                  <c:v>2016 г.</c:v>
                </c:pt>
              </c:strCache>
            </c:strRef>
          </c:cat>
          <c:val>
            <c:numRef>
              <c:f>Лист1!$C$2:$C$11</c:f>
              <c:numCache>
                <c:formatCode>General</c:formatCode>
                <c:ptCount val="10"/>
                <c:pt idx="0">
                  <c:v>152.9</c:v>
                </c:pt>
                <c:pt idx="1">
                  <c:v>261.3</c:v>
                </c:pt>
                <c:pt idx="2">
                  <c:v>287.3</c:v>
                </c:pt>
                <c:pt idx="3">
                  <c:v>374.9</c:v>
                </c:pt>
                <c:pt idx="4">
                  <c:v>384.1</c:v>
                </c:pt>
                <c:pt idx="5">
                  <c:v>469.3</c:v>
                </c:pt>
                <c:pt idx="6">
                  <c:v>618.1</c:v>
                </c:pt>
                <c:pt idx="7">
                  <c:v>1560.4</c:v>
                </c:pt>
                <c:pt idx="8">
                  <c:v>2038.3</c:v>
                </c:pt>
                <c:pt idx="9">
                  <c:v>2249.6999999999998</c:v>
                </c:pt>
              </c:numCache>
            </c:numRef>
          </c:val>
        </c:ser>
        <c:dLbls>
          <c:showLegendKey val="0"/>
          <c:showVal val="0"/>
          <c:showCatName val="0"/>
          <c:showSerName val="0"/>
          <c:showPercent val="0"/>
          <c:showBubbleSize val="0"/>
        </c:dLbls>
        <c:gapWidth val="30"/>
        <c:overlap val="100"/>
        <c:axId val="159128960"/>
        <c:axId val="159134848"/>
      </c:barChart>
      <c:lineChart>
        <c:grouping val="standard"/>
        <c:varyColors val="0"/>
        <c:ser>
          <c:idx val="2"/>
          <c:order val="2"/>
          <c:tx>
            <c:strRef>
              <c:f>Лист1!$D$1</c:f>
              <c:strCache>
                <c:ptCount val="1"/>
                <c:pt idx="0">
                  <c:v>Расходы на обслуживание и погашение государственного долга регионов РФ,% к налоговым и неналоговым доходам региональных бюджетов РФ</c:v>
                </c:pt>
              </c:strCache>
            </c:strRef>
          </c:tx>
          <c:marker>
            <c:symbol val="triangle"/>
            <c:size val="4"/>
          </c:marker>
          <c:dLbls>
            <c:dLblPos val="t"/>
            <c:showLegendKey val="0"/>
            <c:showVal val="1"/>
            <c:showCatName val="0"/>
            <c:showSerName val="0"/>
            <c:showPercent val="0"/>
            <c:showBubbleSize val="0"/>
            <c:showLeaderLines val="0"/>
          </c:dLbls>
          <c:cat>
            <c:strRef>
              <c:f>Лист1!$A$2:$A$11</c:f>
              <c:strCache>
                <c:ptCount val="10"/>
                <c:pt idx="0">
                  <c:v>2007 г.</c:v>
                </c:pt>
                <c:pt idx="1">
                  <c:v>2008 г.</c:v>
                </c:pt>
                <c:pt idx="2">
                  <c:v>2009 г.</c:v>
                </c:pt>
                <c:pt idx="3">
                  <c:v>2010 г.</c:v>
                </c:pt>
                <c:pt idx="4">
                  <c:v>2011 г.</c:v>
                </c:pt>
                <c:pt idx="5">
                  <c:v>2012 г.</c:v>
                </c:pt>
                <c:pt idx="6">
                  <c:v>2013 г.</c:v>
                </c:pt>
                <c:pt idx="7">
                  <c:v>2014 г.</c:v>
                </c:pt>
                <c:pt idx="8">
                  <c:v>2015 г.</c:v>
                </c:pt>
                <c:pt idx="9">
                  <c:v>2016 г.</c:v>
                </c:pt>
              </c:strCache>
            </c:strRef>
          </c:cat>
          <c:val>
            <c:numRef>
              <c:f>Лист1!$D$2:$D$11</c:f>
              <c:numCache>
                <c:formatCode>0.0</c:formatCode>
                <c:ptCount val="10"/>
                <c:pt idx="0">
                  <c:v>5.4597614374150689</c:v>
                </c:pt>
                <c:pt idx="1">
                  <c:v>7.4170808398417689</c:v>
                </c:pt>
                <c:pt idx="2">
                  <c:v>10.354025218234725</c:v>
                </c:pt>
                <c:pt idx="3">
                  <c:v>11.163453948206055</c:v>
                </c:pt>
                <c:pt idx="4">
                  <c:v>9.7106508749009439</c:v>
                </c:pt>
                <c:pt idx="5">
                  <c:v>10.331192253534709</c:v>
                </c:pt>
                <c:pt idx="6">
                  <c:v>13.24528445102281</c:v>
                </c:pt>
                <c:pt idx="7">
                  <c:v>28.217327260721603</c:v>
                </c:pt>
                <c:pt idx="8">
                  <c:v>34.143804856526053</c:v>
                </c:pt>
                <c:pt idx="9">
                  <c:v>34.181363459962917</c:v>
                </c:pt>
              </c:numCache>
            </c:numRef>
          </c:val>
          <c:smooth val="0"/>
        </c:ser>
        <c:dLbls>
          <c:showLegendKey val="0"/>
          <c:showVal val="0"/>
          <c:showCatName val="0"/>
          <c:showSerName val="0"/>
          <c:showPercent val="0"/>
          <c:showBubbleSize val="0"/>
        </c:dLbls>
        <c:marker val="1"/>
        <c:smooth val="0"/>
        <c:axId val="159154560"/>
        <c:axId val="159136384"/>
      </c:lineChart>
      <c:catAx>
        <c:axId val="159128960"/>
        <c:scaling>
          <c:orientation val="minMax"/>
        </c:scaling>
        <c:delete val="0"/>
        <c:axPos val="b"/>
        <c:majorTickMark val="out"/>
        <c:minorTickMark val="none"/>
        <c:tickLblPos val="nextTo"/>
        <c:crossAx val="159134848"/>
        <c:crosses val="autoZero"/>
        <c:auto val="1"/>
        <c:lblAlgn val="ctr"/>
        <c:lblOffset val="100"/>
        <c:noMultiLvlLbl val="0"/>
      </c:catAx>
      <c:valAx>
        <c:axId val="159134848"/>
        <c:scaling>
          <c:orientation val="minMax"/>
          <c:max val="2300"/>
        </c:scaling>
        <c:delete val="0"/>
        <c:axPos val="l"/>
        <c:majorGridlines>
          <c:spPr>
            <a:ln>
              <a:noFill/>
            </a:ln>
          </c:spPr>
        </c:majorGridlines>
        <c:numFmt formatCode="General" sourceLinked="1"/>
        <c:majorTickMark val="out"/>
        <c:minorTickMark val="none"/>
        <c:tickLblPos val="nextTo"/>
        <c:crossAx val="159128960"/>
        <c:crosses val="autoZero"/>
        <c:crossBetween val="between"/>
      </c:valAx>
      <c:valAx>
        <c:axId val="159136384"/>
        <c:scaling>
          <c:orientation val="minMax"/>
          <c:max val="36"/>
        </c:scaling>
        <c:delete val="0"/>
        <c:axPos val="r"/>
        <c:numFmt formatCode="0.0" sourceLinked="1"/>
        <c:majorTickMark val="out"/>
        <c:minorTickMark val="none"/>
        <c:tickLblPos val="nextTo"/>
        <c:crossAx val="159154560"/>
        <c:crosses val="max"/>
        <c:crossBetween val="between"/>
      </c:valAx>
      <c:catAx>
        <c:axId val="159154560"/>
        <c:scaling>
          <c:orientation val="minMax"/>
        </c:scaling>
        <c:delete val="1"/>
        <c:axPos val="b"/>
        <c:majorTickMark val="out"/>
        <c:minorTickMark val="none"/>
        <c:tickLblPos val="nextTo"/>
        <c:crossAx val="159136384"/>
        <c:crosses val="autoZero"/>
        <c:auto val="1"/>
        <c:lblAlgn val="ctr"/>
        <c:lblOffset val="100"/>
        <c:noMultiLvlLbl val="0"/>
      </c:catAx>
    </c:plotArea>
    <c:legend>
      <c:legendPos val="b"/>
      <c:layout>
        <c:manualLayout>
          <c:xMode val="edge"/>
          <c:yMode val="edge"/>
          <c:x val="1.3417948637483747E-2"/>
          <c:y val="0.7236569933007666"/>
          <c:w val="0.96909924882133958"/>
          <c:h val="0.25255440803610602"/>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0384-4911-4D32-AF30-A164BC51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8</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В. Галухин</dc:creator>
  <cp:lastModifiedBy>Антон В. Галухин</cp:lastModifiedBy>
  <cp:revision>19</cp:revision>
  <cp:lastPrinted>2017-04-28T12:07:00Z</cp:lastPrinted>
  <dcterms:created xsi:type="dcterms:W3CDTF">2017-04-26T06:12:00Z</dcterms:created>
  <dcterms:modified xsi:type="dcterms:W3CDTF">2017-04-28T13:33:00Z</dcterms:modified>
</cp:coreProperties>
</file>