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69" w:rsidRPr="007970E1" w:rsidRDefault="008F7769" w:rsidP="007970F5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70E1">
        <w:rPr>
          <w:rFonts w:ascii="Times New Roman" w:hAnsi="Times New Roman" w:cs="Times New Roman"/>
          <w:b/>
          <w:sz w:val="24"/>
          <w:szCs w:val="24"/>
        </w:rPr>
        <w:t>УДК 336.145.1 / ББК 65.261.783</w:t>
      </w:r>
    </w:p>
    <w:p w:rsidR="008F7769" w:rsidRPr="007970E1" w:rsidRDefault="008F7769" w:rsidP="007970F5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0E1">
        <w:rPr>
          <w:rFonts w:ascii="Times New Roman" w:hAnsi="Times New Roman" w:cs="Times New Roman"/>
          <w:b/>
          <w:sz w:val="24"/>
          <w:szCs w:val="24"/>
        </w:rPr>
        <w:t>Микляева К.А.</w:t>
      </w:r>
    </w:p>
    <w:p w:rsidR="00B06C5E" w:rsidRPr="001F1BD1" w:rsidRDefault="00012A87" w:rsidP="007970F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A87">
        <w:rPr>
          <w:rFonts w:ascii="Times New Roman" w:hAnsi="Times New Roman" w:cs="Times New Roman"/>
          <w:b/>
          <w:sz w:val="24"/>
          <w:szCs w:val="24"/>
        </w:rPr>
        <w:t xml:space="preserve">АКТУАЛЬНЫЕ АСПЕКТЫ </w:t>
      </w:r>
      <w:r w:rsidR="001F1BD1">
        <w:rPr>
          <w:rFonts w:ascii="Times New Roman" w:hAnsi="Times New Roman" w:cs="Times New Roman"/>
          <w:b/>
          <w:sz w:val="24"/>
          <w:szCs w:val="24"/>
        </w:rPr>
        <w:t xml:space="preserve">ОБЕСПЕЧЕНИЯ </w:t>
      </w:r>
      <w:r w:rsidR="00217B49">
        <w:rPr>
          <w:rFonts w:ascii="Times New Roman" w:hAnsi="Times New Roman" w:cs="Times New Roman"/>
          <w:b/>
          <w:sz w:val="24"/>
          <w:szCs w:val="24"/>
        </w:rPr>
        <w:t>САМОФИНАНСИРОВАНИЯ</w:t>
      </w:r>
      <w:r w:rsidRPr="00012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BD1">
        <w:rPr>
          <w:rFonts w:ascii="Times New Roman" w:hAnsi="Times New Roman" w:cs="Times New Roman"/>
          <w:b/>
          <w:sz w:val="24"/>
          <w:szCs w:val="24"/>
        </w:rPr>
        <w:t>РАЗНЫХ ТИПОВ МУНИЦИПАЛЬНЫХ ОБРАЗОВАНИЙ</w:t>
      </w:r>
    </w:p>
    <w:p w:rsidR="008F7769" w:rsidRDefault="00012A87" w:rsidP="007970F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A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C5E" w:rsidRPr="00217B49" w:rsidRDefault="00217B49" w:rsidP="007970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B49">
        <w:rPr>
          <w:rFonts w:ascii="Times New Roman" w:hAnsi="Times New Roman" w:cs="Times New Roman"/>
          <w:i/>
          <w:sz w:val="24"/>
          <w:szCs w:val="24"/>
        </w:rPr>
        <w:t xml:space="preserve">В статье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проанализированы тенденции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изменения финансовой самодостаточности бюджетов разных типов муниципальных образований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материалах Вологодской области. </w:t>
      </w:r>
      <w:r w:rsidR="007970E1">
        <w:rPr>
          <w:rFonts w:ascii="Times New Roman" w:hAnsi="Times New Roman" w:cs="Times New Roman"/>
          <w:i/>
          <w:sz w:val="24"/>
          <w:szCs w:val="24"/>
        </w:rPr>
        <w:t>Предложены мероприятия, которые будут способствовать повышению уровня самофинансирования муниципальных образований.</w:t>
      </w:r>
    </w:p>
    <w:p w:rsidR="00217B49" w:rsidRPr="00217B49" w:rsidRDefault="00217B49" w:rsidP="007970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B49">
        <w:rPr>
          <w:rFonts w:ascii="Times New Roman" w:hAnsi="Times New Roman" w:cs="Times New Roman"/>
          <w:i/>
          <w:sz w:val="24"/>
          <w:szCs w:val="24"/>
        </w:rPr>
        <w:t>Ключевые слова: муниципальное образование, местное самоуправление, местный бюджет, дотационность, безвозмездные поступления, самофинансирование</w:t>
      </w:r>
      <w:r w:rsidR="007970E1">
        <w:rPr>
          <w:rFonts w:ascii="Times New Roman" w:hAnsi="Times New Roman" w:cs="Times New Roman"/>
          <w:i/>
          <w:sz w:val="24"/>
          <w:szCs w:val="24"/>
        </w:rPr>
        <w:t>.</w:t>
      </w:r>
      <w:r w:rsidRPr="00217B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7B49" w:rsidRDefault="00217B49" w:rsidP="007970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FFC" w:rsidRPr="00F03E7A" w:rsidRDefault="00F5566C" w:rsidP="007970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66C">
        <w:rPr>
          <w:rFonts w:ascii="Times New Roman" w:hAnsi="Times New Roman" w:cs="Times New Roman"/>
          <w:sz w:val="24"/>
          <w:szCs w:val="24"/>
        </w:rPr>
        <w:t xml:space="preserve">Возможность достижения устойчивого социально-экономического развития территорий в значительной степени определяется </w:t>
      </w:r>
      <w:r w:rsidR="0060786D">
        <w:rPr>
          <w:rFonts w:ascii="Times New Roman" w:hAnsi="Times New Roman" w:cs="Times New Roman"/>
          <w:sz w:val="24"/>
          <w:szCs w:val="24"/>
        </w:rPr>
        <w:t>результативностью функционирования бюджетно-налогового механизма в государстве.</w:t>
      </w:r>
      <w:r w:rsidR="002D7FFC">
        <w:rPr>
          <w:rFonts w:ascii="Times New Roman" w:hAnsi="Times New Roman" w:cs="Times New Roman"/>
          <w:sz w:val="24"/>
          <w:szCs w:val="24"/>
        </w:rPr>
        <w:t xml:space="preserve"> В соответствии с принципами</w:t>
      </w:r>
      <w:r w:rsidR="0058298E">
        <w:rPr>
          <w:rFonts w:ascii="Times New Roman" w:hAnsi="Times New Roman" w:cs="Times New Roman"/>
          <w:sz w:val="24"/>
          <w:szCs w:val="24"/>
        </w:rPr>
        <w:t xml:space="preserve"> бюджетного федерализма </w:t>
      </w:r>
      <w:r w:rsidR="002D7FFC">
        <w:rPr>
          <w:rFonts w:ascii="Times New Roman" w:hAnsi="Times New Roman" w:cs="Times New Roman"/>
          <w:sz w:val="24"/>
          <w:szCs w:val="24"/>
        </w:rPr>
        <w:t xml:space="preserve">для России характерна децентрализация </w:t>
      </w:r>
      <w:r w:rsidR="0058298E">
        <w:rPr>
          <w:rFonts w:ascii="Times New Roman" w:hAnsi="Times New Roman" w:cs="Times New Roman"/>
          <w:sz w:val="24"/>
          <w:szCs w:val="24"/>
        </w:rPr>
        <w:t xml:space="preserve">расходных обязательств </w:t>
      </w:r>
      <w:r w:rsidR="002D7FFC">
        <w:rPr>
          <w:rFonts w:ascii="Times New Roman" w:hAnsi="Times New Roman" w:cs="Times New Roman"/>
          <w:sz w:val="24"/>
          <w:szCs w:val="24"/>
        </w:rPr>
        <w:t>с федерального на региональный и мес</w:t>
      </w:r>
      <w:r w:rsidR="008B6057">
        <w:rPr>
          <w:rFonts w:ascii="Times New Roman" w:hAnsi="Times New Roman" w:cs="Times New Roman"/>
          <w:sz w:val="24"/>
          <w:szCs w:val="24"/>
        </w:rPr>
        <w:t xml:space="preserve">тный уровни управления. В </w:t>
      </w:r>
      <w:r w:rsidR="00F03E7A">
        <w:rPr>
          <w:rFonts w:ascii="Times New Roman" w:hAnsi="Times New Roman" w:cs="Times New Roman"/>
          <w:sz w:val="24"/>
          <w:szCs w:val="24"/>
        </w:rPr>
        <w:t>связи</w:t>
      </w:r>
      <w:r w:rsidR="008B6057">
        <w:rPr>
          <w:rFonts w:ascii="Times New Roman" w:hAnsi="Times New Roman" w:cs="Times New Roman"/>
          <w:sz w:val="24"/>
          <w:szCs w:val="24"/>
        </w:rPr>
        <w:t xml:space="preserve"> с этим усиливается значимость региональных и местных бюджетов в финансовом обеспечении социально-экономического развития территорий, </w:t>
      </w:r>
      <w:r w:rsidR="000C393A">
        <w:rPr>
          <w:rFonts w:ascii="Times New Roman" w:hAnsi="Times New Roman" w:cs="Times New Roman"/>
          <w:sz w:val="24"/>
          <w:szCs w:val="24"/>
        </w:rPr>
        <w:t xml:space="preserve">расширяются требования к </w:t>
      </w:r>
      <w:r w:rsidR="009C267E">
        <w:rPr>
          <w:rFonts w:ascii="Times New Roman" w:hAnsi="Times New Roman" w:cs="Times New Roman"/>
          <w:sz w:val="24"/>
          <w:szCs w:val="24"/>
        </w:rPr>
        <w:t xml:space="preserve">стабильности бюджетной системы </w:t>
      </w:r>
      <w:r w:rsidR="000C393A">
        <w:rPr>
          <w:rFonts w:ascii="Times New Roman" w:hAnsi="Times New Roman" w:cs="Times New Roman"/>
          <w:sz w:val="24"/>
          <w:szCs w:val="24"/>
        </w:rPr>
        <w:t>на данных уровнях управления.</w:t>
      </w:r>
    </w:p>
    <w:p w:rsidR="002D27A9" w:rsidRDefault="0058298E" w:rsidP="007970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</w:t>
      </w:r>
      <w:r w:rsidR="002D27A9">
        <w:rPr>
          <w:rFonts w:ascii="Times New Roman" w:hAnsi="Times New Roman" w:cs="Times New Roman"/>
          <w:sz w:val="24"/>
          <w:szCs w:val="24"/>
        </w:rPr>
        <w:t xml:space="preserve"> роль в формировании финансовых ресурсов в федеративном государстве играет местный бюджет как форма финансового обеспечения функционирования наиболее приближенного к населению уровня публичной власти. </w:t>
      </w:r>
      <w:r w:rsidR="009C267E">
        <w:rPr>
          <w:rFonts w:ascii="Times New Roman" w:hAnsi="Times New Roman" w:cs="Times New Roman"/>
          <w:sz w:val="24"/>
          <w:szCs w:val="24"/>
        </w:rPr>
        <w:t>Механизм бюджетной децентрализации</w:t>
      </w:r>
      <w:r w:rsidR="002D7FFC" w:rsidRPr="002D7FFC">
        <w:rPr>
          <w:rFonts w:ascii="Times New Roman" w:hAnsi="Times New Roman" w:cs="Times New Roman"/>
          <w:sz w:val="24"/>
          <w:szCs w:val="24"/>
        </w:rPr>
        <w:t xml:space="preserve"> предполагает определенную степень автономии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2D7FFC" w:rsidRPr="002D7FFC">
        <w:rPr>
          <w:rFonts w:ascii="Times New Roman" w:hAnsi="Times New Roman" w:cs="Times New Roman"/>
          <w:sz w:val="24"/>
          <w:szCs w:val="24"/>
        </w:rPr>
        <w:t xml:space="preserve">, позволяющую им принимать независимые решения в </w:t>
      </w:r>
      <w:r w:rsidR="004C2279">
        <w:rPr>
          <w:rFonts w:ascii="Times New Roman" w:hAnsi="Times New Roman" w:cs="Times New Roman"/>
          <w:sz w:val="24"/>
          <w:szCs w:val="24"/>
        </w:rPr>
        <w:t>налогово-бюджетно</w:t>
      </w:r>
      <w:r w:rsidR="00F03E7A">
        <w:rPr>
          <w:rFonts w:ascii="Times New Roman" w:hAnsi="Times New Roman" w:cs="Times New Roman"/>
          <w:sz w:val="24"/>
          <w:szCs w:val="24"/>
        </w:rPr>
        <w:t xml:space="preserve">й </w:t>
      </w:r>
      <w:r w:rsidR="002D7FFC" w:rsidRPr="002D7FFC">
        <w:rPr>
          <w:rFonts w:ascii="Times New Roman" w:hAnsi="Times New Roman" w:cs="Times New Roman"/>
          <w:sz w:val="24"/>
          <w:szCs w:val="24"/>
        </w:rPr>
        <w:t>сфере</w:t>
      </w:r>
      <w:r w:rsidR="00DC2167">
        <w:rPr>
          <w:rFonts w:ascii="Times New Roman" w:hAnsi="Times New Roman" w:cs="Times New Roman"/>
          <w:sz w:val="24"/>
          <w:szCs w:val="24"/>
        </w:rPr>
        <w:t xml:space="preserve"> </w:t>
      </w:r>
      <w:r w:rsidR="00DC2167" w:rsidRPr="006F05D8">
        <w:rPr>
          <w:rFonts w:ascii="Times New Roman" w:hAnsi="Times New Roman" w:cs="Times New Roman"/>
          <w:sz w:val="24"/>
          <w:szCs w:val="24"/>
        </w:rPr>
        <w:t>[</w:t>
      </w:r>
      <w:r w:rsidR="006F05D8" w:rsidRPr="006F05D8">
        <w:rPr>
          <w:rFonts w:ascii="Times New Roman" w:hAnsi="Times New Roman" w:cs="Times New Roman"/>
          <w:sz w:val="24"/>
          <w:szCs w:val="24"/>
        </w:rPr>
        <w:t>3</w:t>
      </w:r>
      <w:r w:rsidR="00890DB9" w:rsidRPr="006F05D8">
        <w:rPr>
          <w:rFonts w:ascii="Times New Roman" w:hAnsi="Times New Roman" w:cs="Times New Roman"/>
          <w:sz w:val="24"/>
          <w:szCs w:val="24"/>
        </w:rPr>
        <w:t>, с. 21</w:t>
      </w:r>
      <w:r w:rsidR="00DC2167" w:rsidRPr="006F05D8">
        <w:rPr>
          <w:rFonts w:ascii="Times New Roman" w:hAnsi="Times New Roman" w:cs="Times New Roman"/>
          <w:sz w:val="24"/>
          <w:szCs w:val="24"/>
        </w:rPr>
        <w:t>]</w:t>
      </w:r>
      <w:r w:rsidR="002D7FFC" w:rsidRPr="006F05D8">
        <w:rPr>
          <w:rFonts w:ascii="Times New Roman" w:hAnsi="Times New Roman" w:cs="Times New Roman"/>
          <w:sz w:val="24"/>
          <w:szCs w:val="24"/>
        </w:rPr>
        <w:t>.</w:t>
      </w:r>
      <w:r w:rsidR="009C267E">
        <w:rPr>
          <w:rFonts w:ascii="Times New Roman" w:hAnsi="Times New Roman" w:cs="Times New Roman"/>
          <w:sz w:val="24"/>
          <w:szCs w:val="24"/>
        </w:rPr>
        <w:t xml:space="preserve"> Так, вновь образованные в результате реформирования системы местного самоуправления муниципальные образования</w:t>
      </w:r>
      <w:r w:rsidR="00F03E7A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="00F96A4C">
        <w:rPr>
          <w:rFonts w:ascii="Times New Roman" w:hAnsi="Times New Roman" w:cs="Times New Roman"/>
          <w:sz w:val="24"/>
          <w:szCs w:val="24"/>
        </w:rPr>
        <w:t xml:space="preserve"> формируют собственные бюджеты</w:t>
      </w:r>
      <w:r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="00F96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1D9" w:rsidRDefault="002D27A9" w:rsidP="007970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Однако сохраняющаяся концентрация большей части налоговых поступлений в федеральном и региональном бюджетах </w:t>
      </w:r>
      <w:r w:rsidR="00975A14">
        <w:rPr>
          <w:rFonts w:ascii="Times New Roman" w:hAnsi="Times New Roman" w:cs="Times New Roman"/>
          <w:sz w:val="24"/>
          <w:szCs w:val="24"/>
        </w:rPr>
        <w:t>в сочетании с расширением перечня органов местного самоуправления привела к тому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975A14">
        <w:rPr>
          <w:rFonts w:ascii="Times New Roman" w:hAnsi="Times New Roman" w:cs="Times New Roman"/>
          <w:sz w:val="24"/>
          <w:szCs w:val="24"/>
        </w:rPr>
        <w:t xml:space="preserve">собственная доходная база местных бюджетов оказалась недостаточной для обеспечения </w:t>
      </w:r>
      <w:r w:rsidR="000E46A3">
        <w:rPr>
          <w:rFonts w:ascii="Times New Roman" w:hAnsi="Times New Roman" w:cs="Times New Roman"/>
          <w:sz w:val="24"/>
          <w:szCs w:val="24"/>
        </w:rPr>
        <w:t>устойчивого</w:t>
      </w:r>
      <w:r w:rsidR="00975A14">
        <w:rPr>
          <w:rFonts w:ascii="Times New Roman" w:hAnsi="Times New Roman" w:cs="Times New Roman"/>
          <w:sz w:val="24"/>
          <w:szCs w:val="24"/>
        </w:rPr>
        <w:t xml:space="preserve"> социально-экономического </w:t>
      </w:r>
      <w:r w:rsidR="004A74C9">
        <w:rPr>
          <w:rFonts w:ascii="Times New Roman" w:hAnsi="Times New Roman" w:cs="Times New Roman"/>
          <w:sz w:val="24"/>
          <w:szCs w:val="24"/>
        </w:rPr>
        <w:t>развития территорий.</w:t>
      </w:r>
      <w:proofErr w:type="gramEnd"/>
      <w:r w:rsidR="004A74C9">
        <w:rPr>
          <w:rFonts w:ascii="Times New Roman" w:hAnsi="Times New Roman" w:cs="Times New Roman"/>
          <w:sz w:val="24"/>
          <w:szCs w:val="24"/>
        </w:rPr>
        <w:t xml:space="preserve"> Так, в 2005</w:t>
      </w:r>
      <w:r w:rsidR="00975A14">
        <w:rPr>
          <w:rFonts w:ascii="Times New Roman" w:hAnsi="Times New Roman" w:cs="Times New Roman"/>
          <w:sz w:val="24"/>
          <w:szCs w:val="24"/>
        </w:rPr>
        <w:t xml:space="preserve"> – 2015 гг. финансирование совокупных расходов местных</w:t>
      </w:r>
      <w:r w:rsidR="004A74C9">
        <w:rPr>
          <w:rFonts w:ascii="Times New Roman" w:hAnsi="Times New Roman" w:cs="Times New Roman"/>
          <w:sz w:val="24"/>
          <w:szCs w:val="24"/>
        </w:rPr>
        <w:t xml:space="preserve"> бюджетов </w:t>
      </w:r>
      <w:r w:rsidR="004A74C9">
        <w:rPr>
          <w:rFonts w:ascii="Times New Roman" w:hAnsi="Times New Roman" w:cs="Times New Roman"/>
          <w:sz w:val="24"/>
          <w:szCs w:val="24"/>
        </w:rPr>
        <w:lastRenderedPageBreak/>
        <w:t>России более чем на 50</w:t>
      </w:r>
      <w:r w:rsidR="00975A14">
        <w:rPr>
          <w:rFonts w:ascii="Times New Roman" w:hAnsi="Times New Roman" w:cs="Times New Roman"/>
          <w:sz w:val="24"/>
          <w:szCs w:val="24"/>
        </w:rPr>
        <w:t xml:space="preserve">% состояло из средств финансовой помощи, </w:t>
      </w:r>
      <w:r w:rsidR="006B63E4">
        <w:rPr>
          <w:rFonts w:ascii="Times New Roman" w:hAnsi="Times New Roman" w:cs="Times New Roman"/>
          <w:sz w:val="24"/>
          <w:szCs w:val="24"/>
        </w:rPr>
        <w:t>превысив в 2015 году 63</w:t>
      </w:r>
      <w:r w:rsidR="001F1BD1">
        <w:rPr>
          <w:rFonts w:ascii="Times New Roman" w:hAnsi="Times New Roman" w:cs="Times New Roman"/>
          <w:sz w:val="24"/>
          <w:szCs w:val="24"/>
        </w:rPr>
        <w:t>,4</w:t>
      </w:r>
      <w:r w:rsidR="006B63E4">
        <w:rPr>
          <w:rFonts w:ascii="Times New Roman" w:hAnsi="Times New Roman" w:cs="Times New Roman"/>
          <w:sz w:val="24"/>
          <w:szCs w:val="24"/>
        </w:rPr>
        <w:t>%</w:t>
      </w:r>
      <w:r w:rsidR="001F1BD1">
        <w:rPr>
          <w:rFonts w:ascii="Times New Roman" w:hAnsi="Times New Roman" w:cs="Times New Roman"/>
          <w:sz w:val="24"/>
          <w:szCs w:val="24"/>
        </w:rPr>
        <w:t xml:space="preserve"> по сравнению с 52,5</w:t>
      </w:r>
      <w:r w:rsidR="004A74C9">
        <w:rPr>
          <w:rFonts w:ascii="Times New Roman" w:hAnsi="Times New Roman" w:cs="Times New Roman"/>
          <w:sz w:val="24"/>
          <w:szCs w:val="24"/>
        </w:rPr>
        <w:t>% в 2005 году</w:t>
      </w:r>
      <w:r w:rsidR="006B63E4">
        <w:rPr>
          <w:rFonts w:ascii="Times New Roman" w:hAnsi="Times New Roman" w:cs="Times New Roman"/>
          <w:sz w:val="24"/>
          <w:szCs w:val="24"/>
        </w:rPr>
        <w:t xml:space="preserve">, что свидетельствует о </w:t>
      </w:r>
      <w:r w:rsidR="004A74C9">
        <w:rPr>
          <w:rFonts w:ascii="Times New Roman" w:hAnsi="Times New Roman" w:cs="Times New Roman"/>
          <w:sz w:val="24"/>
          <w:szCs w:val="24"/>
        </w:rPr>
        <w:t>возрастании</w:t>
      </w:r>
      <w:r w:rsidR="00D47306">
        <w:rPr>
          <w:rFonts w:ascii="Times New Roman" w:hAnsi="Times New Roman" w:cs="Times New Roman"/>
          <w:sz w:val="24"/>
          <w:szCs w:val="24"/>
        </w:rPr>
        <w:t xml:space="preserve"> дотационности </w:t>
      </w:r>
      <w:r w:rsidR="006B63E4">
        <w:rPr>
          <w:rFonts w:ascii="Times New Roman" w:hAnsi="Times New Roman" w:cs="Times New Roman"/>
          <w:sz w:val="24"/>
          <w:szCs w:val="24"/>
        </w:rPr>
        <w:t>местных бюджетов стр</w:t>
      </w:r>
      <w:r w:rsidR="00D47306">
        <w:rPr>
          <w:rFonts w:ascii="Times New Roman" w:hAnsi="Times New Roman" w:cs="Times New Roman"/>
          <w:sz w:val="24"/>
          <w:szCs w:val="24"/>
        </w:rPr>
        <w:t>аны</w:t>
      </w:r>
      <w:r w:rsidR="00416C9D">
        <w:rPr>
          <w:rFonts w:ascii="Times New Roman" w:hAnsi="Times New Roman" w:cs="Times New Roman"/>
          <w:sz w:val="24"/>
          <w:szCs w:val="24"/>
        </w:rPr>
        <w:t xml:space="preserve"> (рис. 1)</w:t>
      </w:r>
      <w:r w:rsidR="00D47306">
        <w:rPr>
          <w:rFonts w:ascii="Times New Roman" w:hAnsi="Times New Roman" w:cs="Times New Roman"/>
          <w:sz w:val="24"/>
          <w:szCs w:val="24"/>
        </w:rPr>
        <w:t>. Кроме того, самостоятельность органов местного самоуправления по реализации расходных полномочий ограничена и преобладанием в объеме безвозмездных поступлений тран</w:t>
      </w:r>
      <w:r w:rsidR="003631D9">
        <w:rPr>
          <w:rFonts w:ascii="Times New Roman" w:hAnsi="Times New Roman" w:cs="Times New Roman"/>
          <w:sz w:val="24"/>
          <w:szCs w:val="24"/>
        </w:rPr>
        <w:t xml:space="preserve">сфертов целевого характера, доля которых </w:t>
      </w:r>
      <w:r w:rsidR="003631D9" w:rsidRPr="00F425E0">
        <w:rPr>
          <w:rFonts w:ascii="Times New Roman" w:hAnsi="Times New Roman" w:cs="Times New Roman"/>
          <w:sz w:val="24"/>
          <w:szCs w:val="24"/>
        </w:rPr>
        <w:t>увеличилась с 64</w:t>
      </w:r>
      <w:r w:rsidR="003955BC">
        <w:rPr>
          <w:rFonts w:ascii="Times New Roman" w:hAnsi="Times New Roman" w:cs="Times New Roman"/>
          <w:sz w:val="24"/>
          <w:szCs w:val="24"/>
        </w:rPr>
        <w:t>,7% в 2005</w:t>
      </w:r>
      <w:r w:rsidR="00F425E0" w:rsidRPr="00F425E0">
        <w:rPr>
          <w:rFonts w:ascii="Times New Roman" w:hAnsi="Times New Roman" w:cs="Times New Roman"/>
          <w:sz w:val="24"/>
          <w:szCs w:val="24"/>
        </w:rPr>
        <w:t xml:space="preserve"> году</w:t>
      </w:r>
      <w:r w:rsidR="00416C9D" w:rsidRPr="00F425E0">
        <w:rPr>
          <w:rFonts w:ascii="Times New Roman" w:hAnsi="Times New Roman" w:cs="Times New Roman"/>
          <w:sz w:val="24"/>
          <w:szCs w:val="24"/>
        </w:rPr>
        <w:t xml:space="preserve"> до </w:t>
      </w:r>
      <w:r w:rsidR="00F425E0" w:rsidRPr="00F425E0">
        <w:rPr>
          <w:rFonts w:ascii="Times New Roman" w:hAnsi="Times New Roman" w:cs="Times New Roman"/>
          <w:sz w:val="24"/>
          <w:szCs w:val="24"/>
        </w:rPr>
        <w:t>79,5</w:t>
      </w:r>
      <w:r w:rsidR="00416C9D" w:rsidRPr="00F425E0">
        <w:rPr>
          <w:rFonts w:ascii="Times New Roman" w:hAnsi="Times New Roman" w:cs="Times New Roman"/>
          <w:sz w:val="24"/>
          <w:szCs w:val="24"/>
        </w:rPr>
        <w:t>% в 2015 году</w:t>
      </w:r>
      <w:r w:rsidR="003631D9" w:rsidRPr="00F425E0">
        <w:rPr>
          <w:rFonts w:ascii="Times New Roman" w:hAnsi="Times New Roman" w:cs="Times New Roman"/>
          <w:sz w:val="24"/>
          <w:szCs w:val="24"/>
        </w:rPr>
        <w:t>.</w:t>
      </w:r>
      <w:r w:rsidR="00363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C9D" w:rsidRDefault="00AC519B" w:rsidP="007970F5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9.3pt;margin-top:-6.3pt;width:50pt;height:21.8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D80B60" w:rsidRPr="00EF063A" w:rsidRDefault="00D80B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06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2005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173.3pt;margin-top:-6.3pt;width:55pt;height:18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D80B60" w:rsidRPr="00EF063A" w:rsidRDefault="00D80B60" w:rsidP="00EF063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2015 г.</w:t>
                  </w:r>
                </w:p>
              </w:txbxContent>
            </v:textbox>
          </v:shape>
        </w:pict>
      </w:r>
      <w:r w:rsidR="00416C9D">
        <w:rPr>
          <w:noProof/>
          <w:lang w:eastAsia="ru-RU"/>
        </w:rPr>
        <w:drawing>
          <wp:inline distT="0" distB="0" distL="0" distR="0" wp14:anchorId="0DCF89F6" wp14:editId="6DEC6520">
            <wp:extent cx="2095500" cy="13589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16C9D" w:rsidRPr="00311DFB">
        <w:rPr>
          <w:noProof/>
          <w:lang w:eastAsia="ru-RU"/>
        </w:rPr>
        <w:t xml:space="preserve"> </w:t>
      </w:r>
      <w:r w:rsidR="00416C9D">
        <w:rPr>
          <w:noProof/>
          <w:lang w:eastAsia="ru-RU"/>
        </w:rPr>
        <w:drawing>
          <wp:inline distT="0" distB="0" distL="0" distR="0" wp14:anchorId="20F076C3" wp14:editId="4408CD2A">
            <wp:extent cx="3975100" cy="1549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6C9D" w:rsidRDefault="00416C9D" w:rsidP="007970F5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D28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 xml:space="preserve">унок </w:t>
      </w:r>
      <w:r w:rsidRPr="00D60D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C4F">
        <w:rPr>
          <w:rFonts w:ascii="Times New Roman" w:hAnsi="Times New Roman" w:cs="Times New Roman"/>
          <w:sz w:val="28"/>
          <w:szCs w:val="28"/>
        </w:rPr>
        <w:t>–</w:t>
      </w:r>
      <w:r w:rsidRPr="00D60D28">
        <w:rPr>
          <w:rFonts w:ascii="Times New Roman" w:hAnsi="Times New Roman" w:cs="Times New Roman"/>
          <w:sz w:val="24"/>
          <w:szCs w:val="24"/>
        </w:rPr>
        <w:t xml:space="preserve"> Структура доходов местных бюджетов </w:t>
      </w:r>
      <w:r w:rsidR="001F1BD1">
        <w:rPr>
          <w:rFonts w:ascii="Times New Roman" w:hAnsi="Times New Roman" w:cs="Times New Roman"/>
          <w:sz w:val="24"/>
          <w:szCs w:val="24"/>
        </w:rPr>
        <w:t>России в 2005</w:t>
      </w:r>
      <w:r w:rsidRPr="00D60D28">
        <w:rPr>
          <w:rFonts w:ascii="Times New Roman" w:hAnsi="Times New Roman" w:cs="Times New Roman"/>
          <w:sz w:val="24"/>
          <w:szCs w:val="24"/>
        </w:rPr>
        <w:t xml:space="preserve"> и 2015 гг., %</w:t>
      </w:r>
    </w:p>
    <w:p w:rsidR="00416C9D" w:rsidRPr="00BA2012" w:rsidRDefault="00416C9D" w:rsidP="007970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2">
        <w:rPr>
          <w:rFonts w:ascii="Times New Roman" w:hAnsi="Times New Roman" w:cs="Times New Roman"/>
          <w:sz w:val="24"/>
          <w:szCs w:val="24"/>
        </w:rPr>
        <w:t>Источник: рассчитано автором по данным Федерального казначейства РФ.</w:t>
      </w:r>
    </w:p>
    <w:p w:rsidR="003631D9" w:rsidRPr="003631D9" w:rsidRDefault="003631D9" w:rsidP="007970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B61" w:rsidRDefault="007C4D23" w:rsidP="007970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23">
        <w:rPr>
          <w:rFonts w:ascii="Times New Roman" w:hAnsi="Times New Roman" w:cs="Times New Roman"/>
          <w:sz w:val="24"/>
          <w:szCs w:val="24"/>
        </w:rPr>
        <w:t xml:space="preserve">Увеличение дотационности бюджетов муниципальных образований может привести к существенному </w:t>
      </w:r>
      <w:proofErr w:type="spellStart"/>
      <w:r w:rsidRPr="007C4D23">
        <w:rPr>
          <w:rFonts w:ascii="Times New Roman" w:hAnsi="Times New Roman" w:cs="Times New Roman"/>
          <w:sz w:val="24"/>
          <w:szCs w:val="24"/>
        </w:rPr>
        <w:t>недопоступлению</w:t>
      </w:r>
      <w:proofErr w:type="spellEnd"/>
      <w:r w:rsidRPr="007C4D23">
        <w:rPr>
          <w:rFonts w:ascii="Times New Roman" w:hAnsi="Times New Roman" w:cs="Times New Roman"/>
          <w:sz w:val="24"/>
          <w:szCs w:val="24"/>
        </w:rPr>
        <w:t xml:space="preserve"> доходов в местные бюджеты в случае снижения объема предоставляемых межбюджетных трансфертов. В результате, функциональные задачи органов местного самоуправления по решению вопросов местного значения будут реализованы не полностью, что приведет к ухудшению качества и комфортности проживания населения на территории муниципальных образований, усилению дифференциации развития </w:t>
      </w:r>
      <w:proofErr w:type="spellStart"/>
      <w:r w:rsidRPr="007C4D23">
        <w:rPr>
          <w:rFonts w:ascii="Times New Roman" w:hAnsi="Times New Roman" w:cs="Times New Roman"/>
          <w:sz w:val="24"/>
          <w:szCs w:val="24"/>
        </w:rPr>
        <w:t>внутрирегиональных</w:t>
      </w:r>
      <w:proofErr w:type="spellEnd"/>
      <w:r w:rsidRPr="007C4D23">
        <w:rPr>
          <w:rFonts w:ascii="Times New Roman" w:hAnsi="Times New Roman" w:cs="Times New Roman"/>
          <w:sz w:val="24"/>
          <w:szCs w:val="24"/>
        </w:rPr>
        <w:t xml:space="preserve"> территорий и деградации структуры поселенческой </w:t>
      </w:r>
      <w:r w:rsidRPr="001F1BD1">
        <w:rPr>
          <w:rFonts w:ascii="Times New Roman" w:hAnsi="Times New Roman" w:cs="Times New Roman"/>
          <w:sz w:val="24"/>
          <w:szCs w:val="24"/>
        </w:rPr>
        <w:t>сети [</w:t>
      </w:r>
      <w:r w:rsidR="001F1BD1" w:rsidRPr="001F1BD1">
        <w:rPr>
          <w:rFonts w:ascii="Times New Roman" w:hAnsi="Times New Roman" w:cs="Times New Roman"/>
          <w:sz w:val="24"/>
          <w:szCs w:val="24"/>
        </w:rPr>
        <w:t>2</w:t>
      </w:r>
      <w:r w:rsidRPr="001F1BD1">
        <w:rPr>
          <w:rFonts w:ascii="Times New Roman" w:hAnsi="Times New Roman" w:cs="Times New Roman"/>
          <w:sz w:val="24"/>
          <w:szCs w:val="24"/>
        </w:rPr>
        <w:t>, c. 10].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B61" w:rsidRPr="00F43B61">
        <w:rPr>
          <w:rFonts w:ascii="Times New Roman" w:hAnsi="Times New Roman" w:cs="Times New Roman"/>
          <w:sz w:val="24"/>
          <w:szCs w:val="24"/>
        </w:rPr>
        <w:t xml:space="preserve">Недостаток собственных бюджетных средств вынуждает органы местного самоуправления в своей политике придерживаться общегосударственных </w:t>
      </w:r>
      <w:r w:rsidR="00416C9D">
        <w:rPr>
          <w:rFonts w:ascii="Times New Roman" w:hAnsi="Times New Roman" w:cs="Times New Roman"/>
          <w:sz w:val="24"/>
          <w:szCs w:val="24"/>
        </w:rPr>
        <w:t>ориентиров</w:t>
      </w:r>
      <w:r w:rsidR="00F43B61" w:rsidRPr="00F43B61">
        <w:rPr>
          <w:rFonts w:ascii="Times New Roman" w:hAnsi="Times New Roman" w:cs="Times New Roman"/>
          <w:sz w:val="24"/>
          <w:szCs w:val="24"/>
        </w:rPr>
        <w:t>, в то время как конкретные задачи развития определенных муниципальных территорий могут быть не реализованы.</w:t>
      </w:r>
      <w:r w:rsidR="00A82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57E" w:rsidRDefault="00F43B61" w:rsidP="007970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неустойчивое состояние и развитие бюджетной системы муниципальных образований </w:t>
      </w:r>
      <w:r w:rsidR="006F4565">
        <w:rPr>
          <w:rFonts w:ascii="Times New Roman" w:hAnsi="Times New Roman" w:cs="Times New Roman"/>
          <w:sz w:val="24"/>
          <w:szCs w:val="24"/>
        </w:rPr>
        <w:t>актуализирует вопрос повышения уровня самофинансирования муниципалитетов, под которым будем понимать способность органов местного самоуправления осуществлять законодательно возложенные на них полномочия с преимущественным использованием собственных доходных источников финансирования</w:t>
      </w:r>
      <w:r w:rsidR="00A82E84">
        <w:rPr>
          <w:rFonts w:ascii="Times New Roman" w:hAnsi="Times New Roman" w:cs="Times New Roman"/>
          <w:sz w:val="24"/>
          <w:szCs w:val="24"/>
        </w:rPr>
        <w:t xml:space="preserve">. </w:t>
      </w:r>
      <w:r w:rsidR="00DC2167">
        <w:rPr>
          <w:rFonts w:ascii="Times New Roman" w:hAnsi="Times New Roman" w:cs="Times New Roman"/>
          <w:sz w:val="24"/>
          <w:szCs w:val="24"/>
        </w:rPr>
        <w:t xml:space="preserve">От степени самодостаточности местных бюджетов, вовлеченности собственных финансовых резервов во многом зависят приоритеты реализуемой политики и мотивы принимаемых органами местного самоуправления решений </w:t>
      </w:r>
      <w:r w:rsidR="00DC2167" w:rsidRPr="001F1BD1">
        <w:rPr>
          <w:rFonts w:ascii="Times New Roman" w:hAnsi="Times New Roman" w:cs="Times New Roman"/>
          <w:sz w:val="24"/>
          <w:szCs w:val="24"/>
        </w:rPr>
        <w:t>[</w:t>
      </w:r>
      <w:r w:rsidR="001F1BD1" w:rsidRPr="001F1BD1">
        <w:rPr>
          <w:rFonts w:ascii="Times New Roman" w:hAnsi="Times New Roman" w:cs="Times New Roman"/>
          <w:sz w:val="24"/>
          <w:szCs w:val="24"/>
        </w:rPr>
        <w:t>6</w:t>
      </w:r>
      <w:r w:rsidR="00890DB9" w:rsidRPr="001F1BD1">
        <w:rPr>
          <w:rFonts w:ascii="Times New Roman" w:hAnsi="Times New Roman" w:cs="Times New Roman"/>
          <w:sz w:val="24"/>
          <w:szCs w:val="24"/>
        </w:rPr>
        <w:t>, с. 70</w:t>
      </w:r>
      <w:r w:rsidR="00DC2167" w:rsidRPr="001F1BD1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4C2279" w:rsidRDefault="00B1757E" w:rsidP="007970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актуальной проблема обеспечения самофинансирования муниципальных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образований становится в контексте территориальной организации местного самоуправления в России. </w:t>
      </w:r>
      <w:r w:rsidR="002B608F">
        <w:rPr>
          <w:rFonts w:ascii="Times New Roman" w:hAnsi="Times New Roman" w:cs="Times New Roman"/>
          <w:sz w:val="24"/>
          <w:szCs w:val="24"/>
        </w:rPr>
        <w:t>В результате реформирования системы местного самоуправления в стране была унифиц</w:t>
      </w:r>
      <w:r w:rsidR="004C2279">
        <w:rPr>
          <w:rFonts w:ascii="Times New Roman" w:hAnsi="Times New Roman" w:cs="Times New Roman"/>
          <w:sz w:val="24"/>
          <w:szCs w:val="24"/>
        </w:rPr>
        <w:t>ировано</w:t>
      </w:r>
      <w:r w:rsidR="002B608F">
        <w:rPr>
          <w:rFonts w:ascii="Times New Roman" w:hAnsi="Times New Roman" w:cs="Times New Roman"/>
          <w:sz w:val="24"/>
          <w:szCs w:val="24"/>
        </w:rPr>
        <w:t xml:space="preserve"> его </w:t>
      </w:r>
      <w:r w:rsidR="00FF574C">
        <w:rPr>
          <w:rFonts w:ascii="Times New Roman" w:hAnsi="Times New Roman" w:cs="Times New Roman"/>
          <w:sz w:val="24"/>
          <w:szCs w:val="24"/>
        </w:rPr>
        <w:t>административно-территориальное устройство</w:t>
      </w:r>
      <w:r w:rsidR="002B608F">
        <w:rPr>
          <w:rFonts w:ascii="Times New Roman" w:hAnsi="Times New Roman" w:cs="Times New Roman"/>
          <w:sz w:val="24"/>
          <w:szCs w:val="24"/>
        </w:rPr>
        <w:t xml:space="preserve"> с выделением нескольких типов муниципальных образований: внутригородских территорий федерального назначения, городских округов, муниципальных районов и </w:t>
      </w:r>
      <w:r w:rsidR="004C2279">
        <w:rPr>
          <w:rFonts w:ascii="Times New Roman" w:hAnsi="Times New Roman" w:cs="Times New Roman"/>
          <w:sz w:val="24"/>
          <w:szCs w:val="24"/>
        </w:rPr>
        <w:t>городских и сельских поселений.</w:t>
      </w:r>
    </w:p>
    <w:p w:rsidR="00FF574C" w:rsidRDefault="00991B20" w:rsidP="007970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основных составляющих доходов бюджетов разных типов </w:t>
      </w:r>
      <w:r w:rsidR="004C2279">
        <w:rPr>
          <w:rFonts w:ascii="Times New Roman" w:hAnsi="Times New Roman" w:cs="Times New Roman"/>
          <w:sz w:val="24"/>
          <w:szCs w:val="24"/>
        </w:rPr>
        <w:t xml:space="preserve">муниципалитетов </w:t>
      </w:r>
      <w:r>
        <w:rPr>
          <w:rFonts w:ascii="Times New Roman" w:hAnsi="Times New Roman" w:cs="Times New Roman"/>
          <w:sz w:val="24"/>
          <w:szCs w:val="24"/>
        </w:rPr>
        <w:t xml:space="preserve">в Вологодской области </w:t>
      </w:r>
      <w:r w:rsidR="00FD012B">
        <w:rPr>
          <w:rFonts w:ascii="Times New Roman" w:hAnsi="Times New Roman" w:cs="Times New Roman"/>
          <w:sz w:val="24"/>
          <w:szCs w:val="24"/>
        </w:rPr>
        <w:t xml:space="preserve">за 2006 – 2015 гг. </w:t>
      </w:r>
      <w:r>
        <w:rPr>
          <w:rFonts w:ascii="Times New Roman" w:hAnsi="Times New Roman" w:cs="Times New Roman"/>
          <w:sz w:val="24"/>
          <w:szCs w:val="24"/>
        </w:rPr>
        <w:t>показал</w:t>
      </w:r>
      <w:r w:rsidR="004C22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, что степень финансовой автономии муниципальных образований с различным статусом </w:t>
      </w:r>
      <w:r w:rsidR="00F425E0">
        <w:rPr>
          <w:rFonts w:ascii="Times New Roman" w:hAnsi="Times New Roman" w:cs="Times New Roman"/>
          <w:sz w:val="24"/>
          <w:szCs w:val="24"/>
        </w:rPr>
        <w:t xml:space="preserve">в динамике </w:t>
      </w:r>
      <w:r>
        <w:rPr>
          <w:rFonts w:ascii="Times New Roman" w:hAnsi="Times New Roman" w:cs="Times New Roman"/>
          <w:sz w:val="24"/>
          <w:szCs w:val="24"/>
        </w:rPr>
        <w:t xml:space="preserve">за прошедшее десятилетие существенно </w:t>
      </w:r>
      <w:r w:rsidR="00F425E0">
        <w:rPr>
          <w:rFonts w:ascii="Times New Roman" w:hAnsi="Times New Roman" w:cs="Times New Roman"/>
          <w:sz w:val="24"/>
          <w:szCs w:val="24"/>
        </w:rPr>
        <w:t>видоизменялась</w:t>
      </w:r>
      <w:r>
        <w:rPr>
          <w:rFonts w:ascii="Times New Roman" w:hAnsi="Times New Roman" w:cs="Times New Roman"/>
          <w:sz w:val="24"/>
          <w:szCs w:val="24"/>
        </w:rPr>
        <w:t xml:space="preserve"> (табл</w:t>
      </w:r>
      <w:r w:rsidR="00F425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1). </w:t>
      </w:r>
    </w:p>
    <w:p w:rsidR="00991B20" w:rsidRPr="00E471A8" w:rsidRDefault="00D87151" w:rsidP="007970F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991B20" w:rsidRPr="00E471A8">
        <w:rPr>
          <w:rFonts w:ascii="Times New Roman" w:hAnsi="Times New Roman" w:cs="Times New Roman"/>
          <w:sz w:val="24"/>
          <w:szCs w:val="24"/>
        </w:rPr>
        <w:t xml:space="preserve"> – Распределение составляющих доходов местных бюджетов Вологодской области по разным типам муниципалитетов, </w:t>
      </w:r>
      <w:proofErr w:type="gramStart"/>
      <w:r w:rsidR="00991B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91B20">
        <w:rPr>
          <w:rFonts w:ascii="Times New Roman" w:hAnsi="Times New Roman" w:cs="Times New Roman"/>
          <w:sz w:val="24"/>
          <w:szCs w:val="24"/>
        </w:rPr>
        <w:t xml:space="preserve"> </w:t>
      </w:r>
      <w:r w:rsidR="00991B20" w:rsidRPr="00E471A8">
        <w:rPr>
          <w:rFonts w:ascii="Times New Roman" w:hAnsi="Times New Roman" w:cs="Times New Roman"/>
          <w:sz w:val="24"/>
          <w:szCs w:val="24"/>
        </w:rPr>
        <w:t>% к</w:t>
      </w:r>
      <w:r w:rsidR="00991B20">
        <w:rPr>
          <w:rFonts w:ascii="Times New Roman" w:hAnsi="Times New Roman" w:cs="Times New Roman"/>
          <w:sz w:val="24"/>
          <w:szCs w:val="24"/>
        </w:rPr>
        <w:t xml:space="preserve"> совокупным</w:t>
      </w:r>
      <w:r w:rsidR="00991B20" w:rsidRPr="00E471A8">
        <w:rPr>
          <w:rFonts w:ascii="Times New Roman" w:hAnsi="Times New Roman" w:cs="Times New Roman"/>
          <w:sz w:val="24"/>
          <w:szCs w:val="24"/>
        </w:rPr>
        <w:t xml:space="preserve"> </w:t>
      </w:r>
      <w:r w:rsidR="00991B20">
        <w:rPr>
          <w:rFonts w:ascii="Times New Roman" w:hAnsi="Times New Roman" w:cs="Times New Roman"/>
          <w:sz w:val="24"/>
          <w:szCs w:val="24"/>
        </w:rPr>
        <w:t>доходам бюджета</w:t>
      </w:r>
    </w:p>
    <w:tbl>
      <w:tblPr>
        <w:tblW w:w="4909" w:type="pct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781"/>
        <w:gridCol w:w="781"/>
        <w:gridCol w:w="782"/>
        <w:gridCol w:w="784"/>
        <w:gridCol w:w="784"/>
        <w:gridCol w:w="784"/>
        <w:gridCol w:w="784"/>
        <w:gridCol w:w="784"/>
        <w:gridCol w:w="786"/>
        <w:gridCol w:w="745"/>
      </w:tblGrid>
      <w:tr w:rsidR="00991B20" w:rsidRPr="00C9768A" w:rsidTr="00946E65">
        <w:trPr>
          <w:trHeight w:val="300"/>
          <w:jc w:val="center"/>
        </w:trPr>
        <w:tc>
          <w:tcPr>
            <w:tcW w:w="972" w:type="pct"/>
            <w:shd w:val="clear" w:color="auto" w:fill="auto"/>
            <w:vAlign w:val="center"/>
            <w:hideMark/>
          </w:tcPr>
          <w:p w:rsidR="00991B20" w:rsidRPr="00D87151" w:rsidRDefault="00991B20" w:rsidP="007970F5">
            <w:pPr>
              <w:widowControl w:val="0"/>
              <w:spacing w:after="0" w:line="240" w:lineRule="auto"/>
              <w:ind w:left="-85" w:right="-8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7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Типы муниципалитетов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91B20" w:rsidRPr="00D87151" w:rsidRDefault="00991B20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7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2006 г.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91B20" w:rsidRPr="00D87151" w:rsidRDefault="00991B20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7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2007 г.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91B20" w:rsidRPr="00D87151" w:rsidRDefault="00991B20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7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 г.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91B20" w:rsidRPr="00D87151" w:rsidRDefault="00991B20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7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 г.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91B20" w:rsidRPr="00D87151" w:rsidRDefault="00991B20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7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 г.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91B20" w:rsidRPr="00D87151" w:rsidRDefault="00991B20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7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 г.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91B20" w:rsidRPr="00D87151" w:rsidRDefault="00991B20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7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2012 г.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91B20" w:rsidRPr="00D87151" w:rsidRDefault="00991B20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7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 г.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991B20" w:rsidRPr="00D87151" w:rsidRDefault="00991B20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7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991B20" w:rsidRPr="00D87151" w:rsidRDefault="00991B20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7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 г.</w:t>
            </w:r>
          </w:p>
        </w:tc>
      </w:tr>
      <w:tr w:rsidR="00991B20" w:rsidRPr="00C9768A" w:rsidTr="00991B20">
        <w:trPr>
          <w:trHeight w:val="300"/>
          <w:jc w:val="center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:rsidR="00991B20" w:rsidRPr="00D87151" w:rsidRDefault="00991B20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7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Налоговые и неналоговые доходы </w:t>
            </w:r>
          </w:p>
        </w:tc>
      </w:tr>
      <w:tr w:rsidR="00FD012B" w:rsidRPr="00C9768A" w:rsidTr="00FD012B">
        <w:trPr>
          <w:trHeight w:val="262"/>
          <w:jc w:val="center"/>
        </w:trPr>
        <w:tc>
          <w:tcPr>
            <w:tcW w:w="972" w:type="pct"/>
            <w:shd w:val="clear" w:color="auto" w:fill="auto"/>
            <w:vAlign w:val="center"/>
            <w:hideMark/>
          </w:tcPr>
          <w:p w:rsidR="00FD012B" w:rsidRPr="00D87151" w:rsidRDefault="00FD012B" w:rsidP="007970F5">
            <w:pPr>
              <w:widowControl w:val="0"/>
              <w:spacing w:after="0" w:line="240" w:lineRule="auto"/>
              <w:ind w:left="-85" w:right="-8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7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Городские округа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66,49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62,56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57,98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62,69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60,07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62,32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47,41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50,06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44,48</w:t>
            </w:r>
          </w:p>
        </w:tc>
      </w:tr>
      <w:tr w:rsidR="00FD012B" w:rsidRPr="00C9768A" w:rsidTr="00FD012B">
        <w:trPr>
          <w:trHeight w:val="300"/>
          <w:jc w:val="center"/>
        </w:trPr>
        <w:tc>
          <w:tcPr>
            <w:tcW w:w="972" w:type="pct"/>
            <w:shd w:val="clear" w:color="auto" w:fill="auto"/>
            <w:vAlign w:val="center"/>
            <w:hideMark/>
          </w:tcPr>
          <w:p w:rsidR="00FD012B" w:rsidRPr="00D87151" w:rsidRDefault="00FD012B" w:rsidP="007970F5">
            <w:pPr>
              <w:widowControl w:val="0"/>
              <w:spacing w:after="0" w:line="240" w:lineRule="auto"/>
              <w:ind w:left="-85" w:right="-8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7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Муниципальные районы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18,94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30,12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29,77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17,75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16,36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17,67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34,51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35,16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28,02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29,66</w:t>
            </w:r>
          </w:p>
        </w:tc>
      </w:tr>
      <w:tr w:rsidR="00FD012B" w:rsidRPr="00C9768A" w:rsidTr="00FD012B">
        <w:trPr>
          <w:trHeight w:val="329"/>
          <w:jc w:val="center"/>
        </w:trPr>
        <w:tc>
          <w:tcPr>
            <w:tcW w:w="972" w:type="pct"/>
            <w:shd w:val="clear" w:color="auto" w:fill="auto"/>
            <w:vAlign w:val="center"/>
            <w:hideMark/>
          </w:tcPr>
          <w:p w:rsidR="00FD012B" w:rsidRPr="00D87151" w:rsidRDefault="00FD012B" w:rsidP="007970F5">
            <w:pPr>
              <w:widowControl w:val="0"/>
              <w:spacing w:after="0" w:line="240" w:lineRule="auto"/>
              <w:ind w:left="-85" w:right="-8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7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Городские и сельские поселения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30,19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23,34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34,75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34,44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26,77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32,91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44,17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45,47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FD012B" w:rsidRPr="00FD012B" w:rsidRDefault="00FD012B" w:rsidP="007970F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12B">
              <w:rPr>
                <w:rFonts w:ascii="Arial" w:hAnsi="Arial" w:cs="Arial"/>
                <w:color w:val="000000"/>
                <w:sz w:val="18"/>
                <w:szCs w:val="18"/>
              </w:rPr>
              <w:t>38,94</w:t>
            </w:r>
          </w:p>
        </w:tc>
      </w:tr>
      <w:tr w:rsidR="00991B20" w:rsidRPr="00C9768A" w:rsidTr="00991B20">
        <w:trPr>
          <w:trHeight w:val="300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  <w:hideMark/>
          </w:tcPr>
          <w:p w:rsidR="00991B20" w:rsidRPr="00D87151" w:rsidRDefault="00991B20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7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</w:tr>
      <w:tr w:rsidR="00991B20" w:rsidRPr="00C9768A" w:rsidTr="00FD012B">
        <w:trPr>
          <w:trHeight w:val="300"/>
          <w:jc w:val="center"/>
        </w:trPr>
        <w:tc>
          <w:tcPr>
            <w:tcW w:w="972" w:type="pct"/>
            <w:shd w:val="clear" w:color="auto" w:fill="auto"/>
            <w:vAlign w:val="center"/>
            <w:hideMark/>
          </w:tcPr>
          <w:p w:rsidR="00991B20" w:rsidRPr="00D87151" w:rsidRDefault="00991B20" w:rsidP="007970F5">
            <w:pPr>
              <w:widowControl w:val="0"/>
              <w:spacing w:after="0" w:line="240" w:lineRule="auto"/>
              <w:ind w:left="-85" w:right="-8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7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Городские округа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991B20" w:rsidRPr="00D87151" w:rsidRDefault="00462A87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33,5</w:t>
            </w:r>
            <w:r w:rsidR="00991B20" w:rsidRPr="00D87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991B20" w:rsidRPr="00D87151" w:rsidRDefault="00462A87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37,44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991B20" w:rsidRPr="00D87151" w:rsidRDefault="00462A87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42,02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991B20" w:rsidRPr="00D87151" w:rsidRDefault="00462A87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37,31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991B20" w:rsidRPr="00D87151" w:rsidRDefault="00462A87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39,93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991B20" w:rsidRPr="00D87151" w:rsidRDefault="00946E65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37,68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991B20" w:rsidRPr="00D87151" w:rsidRDefault="00946E65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52,59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991B20" w:rsidRPr="00D87151" w:rsidRDefault="00946E65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49,94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991B20" w:rsidRPr="00D87151" w:rsidRDefault="00946E65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991B20" w:rsidRPr="00D87151" w:rsidRDefault="00946E65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55,52</w:t>
            </w:r>
          </w:p>
        </w:tc>
      </w:tr>
      <w:tr w:rsidR="00991B20" w:rsidRPr="00C9768A" w:rsidTr="00FD012B">
        <w:trPr>
          <w:trHeight w:val="300"/>
          <w:jc w:val="center"/>
        </w:trPr>
        <w:tc>
          <w:tcPr>
            <w:tcW w:w="972" w:type="pct"/>
            <w:shd w:val="clear" w:color="auto" w:fill="auto"/>
            <w:vAlign w:val="center"/>
            <w:hideMark/>
          </w:tcPr>
          <w:p w:rsidR="00991B20" w:rsidRPr="00D87151" w:rsidRDefault="00991B20" w:rsidP="007970F5">
            <w:pPr>
              <w:widowControl w:val="0"/>
              <w:spacing w:after="0" w:line="240" w:lineRule="auto"/>
              <w:ind w:left="-85" w:right="-8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7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Муниципальные районы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991B20" w:rsidRPr="00D87151" w:rsidRDefault="00946E65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81,06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991B20" w:rsidRPr="00D87151" w:rsidRDefault="00946E65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69,88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991B20" w:rsidRPr="00D87151" w:rsidRDefault="00946E65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70,23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991B20" w:rsidRPr="00D87151" w:rsidRDefault="004663A9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82,25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991B20" w:rsidRPr="00D87151" w:rsidRDefault="004663A9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83,64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991B20" w:rsidRPr="00D87151" w:rsidRDefault="004663A9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82,33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991B20" w:rsidRPr="00D87151" w:rsidRDefault="004663A9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991B20" w:rsidRPr="00D87151" w:rsidRDefault="004663A9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64,84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991B20" w:rsidRPr="00D87151" w:rsidRDefault="004663A9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71,98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991B20" w:rsidRPr="00D87151" w:rsidRDefault="004663A9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70,34</w:t>
            </w:r>
          </w:p>
        </w:tc>
      </w:tr>
      <w:tr w:rsidR="00991B20" w:rsidRPr="00C9768A" w:rsidTr="00FD012B">
        <w:trPr>
          <w:trHeight w:val="300"/>
          <w:jc w:val="center"/>
        </w:trPr>
        <w:tc>
          <w:tcPr>
            <w:tcW w:w="972" w:type="pct"/>
            <w:shd w:val="clear" w:color="auto" w:fill="auto"/>
            <w:vAlign w:val="center"/>
            <w:hideMark/>
          </w:tcPr>
          <w:p w:rsidR="00991B20" w:rsidRPr="00D87151" w:rsidRDefault="00991B20" w:rsidP="007970F5">
            <w:pPr>
              <w:widowControl w:val="0"/>
              <w:spacing w:after="0" w:line="240" w:lineRule="auto"/>
              <w:ind w:left="-85" w:right="-8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7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Городские и сельские поселения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991B20" w:rsidRPr="00D87151" w:rsidRDefault="004663A9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69,81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991B20" w:rsidRPr="00D87151" w:rsidRDefault="004663A9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76,66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991B20" w:rsidRPr="00D87151" w:rsidRDefault="00FD012B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65,25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991B20" w:rsidRPr="00D87151" w:rsidRDefault="00FD012B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65,56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991B20" w:rsidRPr="00D87151" w:rsidRDefault="00FD012B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73,23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991B20" w:rsidRPr="00D87151" w:rsidRDefault="00FD012B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67,09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991B20" w:rsidRPr="00D87151" w:rsidRDefault="00FD012B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55,83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991B20" w:rsidRPr="00D87151" w:rsidRDefault="00FD012B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47,10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991B20" w:rsidRPr="00D87151" w:rsidRDefault="00FD012B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54,53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991B20" w:rsidRPr="00D87151" w:rsidRDefault="00FD012B" w:rsidP="007970F5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61,06</w:t>
            </w:r>
          </w:p>
        </w:tc>
      </w:tr>
    </w:tbl>
    <w:p w:rsidR="00991B20" w:rsidRPr="00497C4D" w:rsidRDefault="00497C4D" w:rsidP="007970F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рассчитано автором по данным Федерального казначейства РФ.</w:t>
      </w:r>
    </w:p>
    <w:p w:rsidR="00497C4D" w:rsidRPr="00497C4D" w:rsidRDefault="00497C4D" w:rsidP="007970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5E0" w:rsidRDefault="004C2279" w:rsidP="007970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в результате реформирования поселенческого уровня местного самоуправления и соответствующее разделение экономических и финансовых ресурсов между поселениями и районом ухудшило состояние районных </w:t>
      </w:r>
      <w:r w:rsidRPr="001F1BD1"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="001F1BD1" w:rsidRPr="001F1BD1">
        <w:rPr>
          <w:rFonts w:ascii="Times New Roman" w:hAnsi="Times New Roman" w:cs="Times New Roman"/>
          <w:sz w:val="24"/>
          <w:szCs w:val="24"/>
        </w:rPr>
        <w:t>[4</w:t>
      </w:r>
      <w:r w:rsidR="00681FD8" w:rsidRPr="001F1BD1">
        <w:rPr>
          <w:rFonts w:ascii="Times New Roman" w:hAnsi="Times New Roman" w:cs="Times New Roman"/>
          <w:sz w:val="24"/>
          <w:szCs w:val="24"/>
        </w:rPr>
        <w:t>, с. 86</w:t>
      </w:r>
      <w:r w:rsidRPr="001F1BD1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412">
        <w:rPr>
          <w:rFonts w:ascii="Times New Roman" w:hAnsi="Times New Roman" w:cs="Times New Roman"/>
          <w:sz w:val="24"/>
          <w:szCs w:val="24"/>
        </w:rPr>
        <w:t xml:space="preserve">Финансовая автономия бюджетов муниципальных районов </w:t>
      </w: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965412">
        <w:rPr>
          <w:rFonts w:ascii="Times New Roman" w:hAnsi="Times New Roman" w:cs="Times New Roman"/>
          <w:sz w:val="24"/>
          <w:szCs w:val="24"/>
        </w:rPr>
        <w:t>является наиболее низкой</w:t>
      </w:r>
      <w:r>
        <w:rPr>
          <w:rFonts w:ascii="Times New Roman" w:hAnsi="Times New Roman" w:cs="Times New Roman"/>
          <w:sz w:val="24"/>
          <w:szCs w:val="24"/>
        </w:rPr>
        <w:t xml:space="preserve"> среди всех типов муниципалитетов, однако удельный вес безвозмездных поступлений в их дохо</w:t>
      </w:r>
      <w:r w:rsidR="00F425E0">
        <w:rPr>
          <w:rFonts w:ascii="Times New Roman" w:hAnsi="Times New Roman" w:cs="Times New Roman"/>
          <w:sz w:val="24"/>
          <w:szCs w:val="24"/>
        </w:rPr>
        <w:t xml:space="preserve">дах сократился в 2015 году по сравнению с 2006 годом на 10,7%. </w:t>
      </w:r>
    </w:p>
    <w:p w:rsidR="00A63DAE" w:rsidRDefault="00C00BD0" w:rsidP="007970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C2279" w:rsidRPr="0074186C">
        <w:rPr>
          <w:rFonts w:ascii="Times New Roman" w:hAnsi="Times New Roman" w:cs="Times New Roman"/>
          <w:sz w:val="24"/>
          <w:szCs w:val="24"/>
        </w:rPr>
        <w:t>а рассматриваемый период значительно снизилась степень финансовой автон</w:t>
      </w:r>
      <w:r w:rsidR="00475F29">
        <w:rPr>
          <w:rFonts w:ascii="Times New Roman" w:hAnsi="Times New Roman" w:cs="Times New Roman"/>
          <w:sz w:val="24"/>
          <w:szCs w:val="24"/>
        </w:rPr>
        <w:t xml:space="preserve">омии бюджетов городских округов. </w:t>
      </w:r>
      <w:proofErr w:type="gramStart"/>
      <w:r w:rsidR="00475F29">
        <w:rPr>
          <w:rFonts w:ascii="Times New Roman" w:hAnsi="Times New Roman" w:cs="Times New Roman"/>
          <w:sz w:val="24"/>
          <w:szCs w:val="24"/>
        </w:rPr>
        <w:t>Если в 2006 году собственные доходные поступления формировали 66,5% совокупных бюджетных доходов, то к 2015 году –</w:t>
      </w:r>
      <w:r w:rsidR="00BD15ED">
        <w:rPr>
          <w:rFonts w:ascii="Times New Roman" w:hAnsi="Times New Roman" w:cs="Times New Roman"/>
          <w:sz w:val="24"/>
          <w:szCs w:val="24"/>
        </w:rPr>
        <w:t xml:space="preserve"> только 44,5</w:t>
      </w:r>
      <w:r w:rsidR="00475F29">
        <w:rPr>
          <w:rFonts w:ascii="Times New Roman" w:hAnsi="Times New Roman" w:cs="Times New Roman"/>
          <w:sz w:val="24"/>
          <w:szCs w:val="24"/>
        </w:rPr>
        <w:t xml:space="preserve">%. </w:t>
      </w:r>
      <w:r w:rsidR="00673F47">
        <w:rPr>
          <w:rFonts w:ascii="Times New Roman" w:hAnsi="Times New Roman" w:cs="Times New Roman"/>
          <w:sz w:val="24"/>
          <w:szCs w:val="24"/>
        </w:rPr>
        <w:t xml:space="preserve">Значительное </w:t>
      </w:r>
      <w:r w:rsidR="00BD15ED">
        <w:rPr>
          <w:rFonts w:ascii="Times New Roman" w:hAnsi="Times New Roman" w:cs="Times New Roman"/>
          <w:sz w:val="24"/>
          <w:szCs w:val="24"/>
        </w:rPr>
        <w:t>сжатие</w:t>
      </w:r>
      <w:r w:rsidR="00673F47">
        <w:rPr>
          <w:rFonts w:ascii="Times New Roman" w:hAnsi="Times New Roman" w:cs="Times New Roman"/>
          <w:sz w:val="24"/>
          <w:szCs w:val="24"/>
        </w:rPr>
        <w:t xml:space="preserve"> собственной доходной базы бюджетов городских округов </w:t>
      </w:r>
      <w:r w:rsidR="00475F29">
        <w:rPr>
          <w:rFonts w:ascii="Times New Roman" w:hAnsi="Times New Roman" w:cs="Times New Roman"/>
          <w:sz w:val="24"/>
          <w:szCs w:val="24"/>
        </w:rPr>
        <w:t>обусловлено</w:t>
      </w:r>
      <w:r w:rsidR="00673F47">
        <w:rPr>
          <w:rFonts w:ascii="Times New Roman" w:hAnsi="Times New Roman" w:cs="Times New Roman"/>
          <w:sz w:val="24"/>
          <w:szCs w:val="24"/>
        </w:rPr>
        <w:t xml:space="preserve"> тем, что в результате реформиро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D80B60">
        <w:rPr>
          <w:rFonts w:ascii="Times New Roman" w:hAnsi="Times New Roman" w:cs="Times New Roman"/>
          <w:sz w:val="24"/>
          <w:szCs w:val="24"/>
        </w:rPr>
        <w:t>межбюджетных отношений</w:t>
      </w:r>
      <w:r w:rsidR="00673F47" w:rsidRPr="00D80B60">
        <w:rPr>
          <w:rFonts w:ascii="Times New Roman" w:hAnsi="Times New Roman" w:cs="Times New Roman"/>
          <w:sz w:val="24"/>
          <w:szCs w:val="24"/>
        </w:rPr>
        <w:t xml:space="preserve"> в России бюджеты городских округов лишились практически половины собственных налогов</w:t>
      </w:r>
      <w:r w:rsidR="00D80B60" w:rsidRPr="00D80B60">
        <w:rPr>
          <w:rFonts w:ascii="Times New Roman" w:hAnsi="Times New Roman" w:cs="Times New Roman"/>
          <w:sz w:val="24"/>
          <w:szCs w:val="24"/>
        </w:rPr>
        <w:t>, в том числе налога на рекламу, налога на наследование и дарение, местных лицензионных сборов.</w:t>
      </w:r>
      <w:proofErr w:type="gramEnd"/>
      <w:r w:rsidR="00D80B60">
        <w:rPr>
          <w:rFonts w:ascii="Times New Roman" w:hAnsi="Times New Roman" w:cs="Times New Roman"/>
          <w:sz w:val="24"/>
          <w:szCs w:val="24"/>
        </w:rPr>
        <w:t xml:space="preserve"> </w:t>
      </w:r>
      <w:r w:rsidR="00374DD1" w:rsidRPr="00374DD1">
        <w:rPr>
          <w:rFonts w:ascii="Times New Roman" w:hAnsi="Times New Roman" w:cs="Times New Roman"/>
          <w:sz w:val="24"/>
          <w:szCs w:val="24"/>
        </w:rPr>
        <w:t xml:space="preserve">Кроме того, с 2012 года </w:t>
      </w:r>
      <w:r w:rsidR="00374DD1">
        <w:rPr>
          <w:rFonts w:ascii="Times New Roman" w:hAnsi="Times New Roman" w:cs="Times New Roman"/>
          <w:sz w:val="24"/>
          <w:szCs w:val="24"/>
        </w:rPr>
        <w:t xml:space="preserve">дотации на выравнивание бюджетной обеспеченности регионов стали заменяться дифференцированными нормативами отчислений от </w:t>
      </w:r>
      <w:r w:rsidR="00C45FD8">
        <w:rPr>
          <w:rFonts w:ascii="Times New Roman" w:hAnsi="Times New Roman" w:cs="Times New Roman"/>
          <w:sz w:val="24"/>
          <w:szCs w:val="24"/>
        </w:rPr>
        <w:t xml:space="preserve">налога на доходы </w:t>
      </w:r>
      <w:r w:rsidR="00C45FD8">
        <w:rPr>
          <w:rFonts w:ascii="Times New Roman" w:hAnsi="Times New Roman" w:cs="Times New Roman"/>
          <w:sz w:val="24"/>
          <w:szCs w:val="24"/>
        </w:rPr>
        <w:lastRenderedPageBreak/>
        <w:t>физических лиц</w:t>
      </w:r>
      <w:r w:rsidR="00374DD1">
        <w:rPr>
          <w:rFonts w:ascii="Times New Roman" w:hAnsi="Times New Roman" w:cs="Times New Roman"/>
          <w:sz w:val="24"/>
          <w:szCs w:val="24"/>
        </w:rPr>
        <w:t>. Данная замена произ</w:t>
      </w:r>
      <w:r w:rsidR="00475F29">
        <w:rPr>
          <w:rFonts w:ascii="Times New Roman" w:hAnsi="Times New Roman" w:cs="Times New Roman"/>
          <w:sz w:val="24"/>
          <w:szCs w:val="24"/>
        </w:rPr>
        <w:t>водилась в основном за счет изъятия части Н</w:t>
      </w:r>
      <w:r w:rsidR="00374DD1">
        <w:rPr>
          <w:rFonts w:ascii="Times New Roman" w:hAnsi="Times New Roman" w:cs="Times New Roman"/>
          <w:sz w:val="24"/>
          <w:szCs w:val="24"/>
        </w:rPr>
        <w:t>ДФЛ из городских бюджетов</w:t>
      </w:r>
      <w:r w:rsidR="00497C4D">
        <w:rPr>
          <w:rFonts w:ascii="Times New Roman" w:hAnsi="Times New Roman" w:cs="Times New Roman"/>
          <w:sz w:val="24"/>
          <w:szCs w:val="24"/>
        </w:rPr>
        <w:t xml:space="preserve"> – норматив отчислений</w:t>
      </w:r>
      <w:r w:rsidR="00497C4D" w:rsidRPr="00497C4D">
        <w:rPr>
          <w:rFonts w:ascii="Times New Roman" w:hAnsi="Times New Roman" w:cs="Times New Roman"/>
          <w:sz w:val="24"/>
          <w:szCs w:val="24"/>
        </w:rPr>
        <w:t xml:space="preserve"> </w:t>
      </w:r>
      <w:r w:rsidR="00497C4D">
        <w:rPr>
          <w:rFonts w:ascii="Times New Roman" w:hAnsi="Times New Roman" w:cs="Times New Roman"/>
          <w:sz w:val="24"/>
          <w:szCs w:val="24"/>
        </w:rPr>
        <w:t>по НДФЛ для зачисления в бюджеты городских округов сократился за 2006 – 2015 гг. с 30% до 15%.</w:t>
      </w:r>
      <w:r w:rsidR="00374DD1" w:rsidRPr="001F1BD1">
        <w:rPr>
          <w:rFonts w:ascii="Times New Roman" w:hAnsi="Times New Roman" w:cs="Times New Roman"/>
          <w:sz w:val="24"/>
          <w:szCs w:val="24"/>
        </w:rPr>
        <w:t xml:space="preserve"> </w:t>
      </w:r>
      <w:r w:rsidR="001F1BD1" w:rsidRPr="001F1BD1">
        <w:rPr>
          <w:rFonts w:ascii="Times New Roman" w:hAnsi="Times New Roman" w:cs="Times New Roman"/>
          <w:sz w:val="24"/>
          <w:szCs w:val="24"/>
        </w:rPr>
        <w:t>[5, с 112-114</w:t>
      </w:r>
      <w:r w:rsidR="00374DD1" w:rsidRPr="001F1BD1">
        <w:rPr>
          <w:rFonts w:ascii="Times New Roman" w:hAnsi="Times New Roman" w:cs="Times New Roman"/>
          <w:sz w:val="24"/>
          <w:szCs w:val="24"/>
        </w:rPr>
        <w:t>].</w:t>
      </w:r>
      <w:r w:rsidR="00374DD1" w:rsidRPr="00374D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5B4B" w:rsidRDefault="00BD15ED" w:rsidP="007970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Следствием выпадения </w:t>
      </w:r>
      <w:r w:rsidR="00955B4B">
        <w:rPr>
          <w:rFonts w:ascii="Times New Roman" w:hAnsi="Times New Roman" w:cs="Times New Roman"/>
          <w:sz w:val="24"/>
          <w:szCs w:val="24"/>
        </w:rPr>
        <w:t>собственной доходной базы</w:t>
      </w:r>
      <w:r>
        <w:rPr>
          <w:rFonts w:ascii="Times New Roman" w:hAnsi="Times New Roman" w:cs="Times New Roman"/>
          <w:sz w:val="24"/>
          <w:szCs w:val="24"/>
        </w:rPr>
        <w:t xml:space="preserve"> в бюджетах городских округов стало сок</w:t>
      </w:r>
      <w:r w:rsidR="00955B4B">
        <w:rPr>
          <w:rFonts w:ascii="Times New Roman" w:hAnsi="Times New Roman" w:cs="Times New Roman"/>
          <w:sz w:val="24"/>
          <w:szCs w:val="24"/>
        </w:rPr>
        <w:t xml:space="preserve">ращение </w:t>
      </w:r>
      <w:proofErr w:type="spellStart"/>
      <w:r w:rsidR="00955B4B">
        <w:rPr>
          <w:rFonts w:ascii="Times New Roman" w:hAnsi="Times New Roman" w:cs="Times New Roman"/>
          <w:sz w:val="24"/>
          <w:szCs w:val="24"/>
        </w:rPr>
        <w:t>подушевой</w:t>
      </w:r>
      <w:proofErr w:type="spellEnd"/>
      <w:r w:rsidR="00955B4B">
        <w:rPr>
          <w:rFonts w:ascii="Times New Roman" w:hAnsi="Times New Roman" w:cs="Times New Roman"/>
          <w:sz w:val="24"/>
          <w:szCs w:val="24"/>
        </w:rPr>
        <w:t xml:space="preserve"> бюджетной обеспеченности в сопоставимом выражении в городских округах (</w:t>
      </w:r>
      <w:r w:rsidR="00955B4B" w:rsidRPr="00955B4B">
        <w:rPr>
          <w:rFonts w:ascii="Times New Roman" w:hAnsi="Times New Roman" w:cs="Times New Roman"/>
          <w:sz w:val="24"/>
          <w:szCs w:val="24"/>
        </w:rPr>
        <w:t>на 67,5% в г. Вологде и на 54,4% в г. Череповце</w:t>
      </w:r>
      <w:r w:rsidR="00955B4B">
        <w:rPr>
          <w:rFonts w:ascii="Times New Roman" w:hAnsi="Times New Roman" w:cs="Times New Roman"/>
          <w:sz w:val="24"/>
          <w:szCs w:val="24"/>
        </w:rPr>
        <w:t>), в то время как в практически во всех муниципальных районах обеспеченность собственными доходами бюджетов на душу населения за прошедшее десятилетие возрастала (табл. 2).</w:t>
      </w:r>
      <w:proofErr w:type="gramEnd"/>
    </w:p>
    <w:p w:rsidR="00305533" w:rsidRDefault="00305533" w:rsidP="007970F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Таблица 2 </w:t>
      </w:r>
      <w:r w:rsidRPr="00832C0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Бюджетная обеспеченность собственными доходами на душу населения муниципальных районов и городских округов Вологодской области, тыс. руб. </w:t>
      </w:r>
    </w:p>
    <w:p w:rsidR="00305533" w:rsidRPr="000274BF" w:rsidRDefault="00305533" w:rsidP="007970F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сопоставимых ценах 2015 года)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582"/>
        <w:gridCol w:w="585"/>
        <w:gridCol w:w="583"/>
        <w:gridCol w:w="587"/>
        <w:gridCol w:w="794"/>
        <w:gridCol w:w="1538"/>
        <w:gridCol w:w="736"/>
        <w:gridCol w:w="583"/>
        <w:gridCol w:w="583"/>
        <w:gridCol w:w="585"/>
        <w:gridCol w:w="869"/>
      </w:tblGrid>
      <w:tr w:rsidR="00305533" w:rsidRPr="001774D3" w:rsidTr="00EF063A">
        <w:trPr>
          <w:trHeight w:val="300"/>
        </w:trPr>
        <w:tc>
          <w:tcPr>
            <w:tcW w:w="898" w:type="pct"/>
            <w:shd w:val="clear" w:color="auto" w:fill="auto"/>
            <w:noWrap/>
            <w:vAlign w:val="center"/>
            <w:hideMark/>
          </w:tcPr>
          <w:p w:rsidR="00305533" w:rsidRPr="0074186C" w:rsidRDefault="00305533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305533" w:rsidRPr="0074186C" w:rsidRDefault="00305533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305533" w:rsidRPr="0074186C" w:rsidRDefault="00305533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305533" w:rsidRPr="0074186C" w:rsidRDefault="00305533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305533" w:rsidRPr="0074186C" w:rsidRDefault="00305533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305533" w:rsidRPr="0074186C" w:rsidRDefault="00305533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 к 2006, %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305533" w:rsidRPr="0074186C" w:rsidRDefault="00305533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305533" w:rsidRPr="0074186C" w:rsidRDefault="00305533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305533" w:rsidRPr="0074186C" w:rsidRDefault="00305533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305533" w:rsidRPr="0074186C" w:rsidRDefault="00305533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305533" w:rsidRPr="0074186C" w:rsidRDefault="00305533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05533" w:rsidRPr="0074186C" w:rsidRDefault="00305533" w:rsidP="007970F5">
            <w:pPr>
              <w:widowControl w:val="0"/>
              <w:spacing w:before="120"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 к</w:t>
            </w:r>
          </w:p>
          <w:p w:rsidR="00305533" w:rsidRPr="0074186C" w:rsidRDefault="00305533" w:rsidP="007970F5">
            <w:pPr>
              <w:widowControl w:val="0"/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2006, %</w:t>
            </w:r>
          </w:p>
        </w:tc>
      </w:tr>
      <w:tr w:rsidR="0074186C" w:rsidRPr="001774D3" w:rsidTr="00EF063A">
        <w:trPr>
          <w:trHeight w:val="315"/>
        </w:trPr>
        <w:tc>
          <w:tcPr>
            <w:tcW w:w="8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Междуреченский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12,02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9,27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272,32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85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Череповецкий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5,34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9,61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9,38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175,60</w:t>
            </w:r>
          </w:p>
        </w:tc>
      </w:tr>
      <w:tr w:rsidR="0074186C" w:rsidRPr="001774D3" w:rsidTr="00EF063A">
        <w:trPr>
          <w:trHeight w:val="315"/>
        </w:trPr>
        <w:tc>
          <w:tcPr>
            <w:tcW w:w="8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Нюксенский</w:t>
            </w:r>
            <w:proofErr w:type="spellEnd"/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29,37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14,82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270,40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85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Тотемский</w:t>
            </w:r>
            <w:proofErr w:type="spellEnd"/>
          </w:p>
        </w:tc>
        <w:tc>
          <w:tcPr>
            <w:tcW w:w="376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5,61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14,85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9,99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174,80</w:t>
            </w:r>
          </w:p>
        </w:tc>
      </w:tr>
      <w:tr w:rsidR="0074186C" w:rsidRPr="001774D3" w:rsidTr="00EF063A">
        <w:trPr>
          <w:trHeight w:val="315"/>
        </w:trPr>
        <w:tc>
          <w:tcPr>
            <w:tcW w:w="8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Верховажский</w:t>
            </w:r>
            <w:proofErr w:type="spellEnd"/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9,51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269,91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85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Грязовецкий</w:t>
            </w:r>
            <w:proofErr w:type="spellEnd"/>
          </w:p>
        </w:tc>
        <w:tc>
          <w:tcPr>
            <w:tcW w:w="376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5,13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5,98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12,47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7,87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153,44</w:t>
            </w:r>
          </w:p>
        </w:tc>
      </w:tr>
      <w:tr w:rsidR="0074186C" w:rsidRPr="001774D3" w:rsidTr="00EF063A">
        <w:trPr>
          <w:trHeight w:val="315"/>
        </w:trPr>
        <w:tc>
          <w:tcPr>
            <w:tcW w:w="8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Устюженский</w:t>
            </w:r>
            <w:proofErr w:type="spellEnd"/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8,92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7,64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269,15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85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Чагодощенский</w:t>
            </w:r>
            <w:proofErr w:type="spellEnd"/>
          </w:p>
        </w:tc>
        <w:tc>
          <w:tcPr>
            <w:tcW w:w="376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5,34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12,26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8,20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153,42</w:t>
            </w:r>
          </w:p>
        </w:tc>
      </w:tr>
      <w:tr w:rsidR="0074186C" w:rsidRPr="001774D3" w:rsidTr="00EF063A">
        <w:trPr>
          <w:trHeight w:val="315"/>
        </w:trPr>
        <w:tc>
          <w:tcPr>
            <w:tcW w:w="8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Сямженский</w:t>
            </w:r>
            <w:proofErr w:type="spellEnd"/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4,88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10,96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261,66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85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Бабаевский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11,91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13,82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8,68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146,86</w:t>
            </w:r>
          </w:p>
        </w:tc>
      </w:tr>
      <w:tr w:rsidR="0074186C" w:rsidRPr="001774D3" w:rsidTr="00EF063A">
        <w:trPr>
          <w:trHeight w:val="315"/>
        </w:trPr>
        <w:tc>
          <w:tcPr>
            <w:tcW w:w="8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8,10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6,74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259,50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85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Усть</w:t>
            </w:r>
            <w:proofErr w:type="spellEnd"/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-Кубинский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5,29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10,66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10,57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139,84</w:t>
            </w:r>
          </w:p>
        </w:tc>
      </w:tr>
      <w:tr w:rsidR="0074186C" w:rsidRPr="001774D3" w:rsidTr="00EF063A">
        <w:trPr>
          <w:trHeight w:val="315"/>
        </w:trPr>
        <w:tc>
          <w:tcPr>
            <w:tcW w:w="8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Вытегорский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251,05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85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Белозерский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4,43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10,77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8,18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126,30</w:t>
            </w:r>
          </w:p>
        </w:tc>
      </w:tr>
      <w:tr w:rsidR="0074186C" w:rsidRPr="001774D3" w:rsidTr="00EF063A">
        <w:trPr>
          <w:trHeight w:val="315"/>
        </w:trPr>
        <w:tc>
          <w:tcPr>
            <w:tcW w:w="8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Вашкинский</w:t>
            </w:r>
            <w:proofErr w:type="spellEnd"/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10,32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10,12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239,87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85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Кадуйский</w:t>
            </w:r>
            <w:proofErr w:type="spellEnd"/>
          </w:p>
        </w:tc>
        <w:tc>
          <w:tcPr>
            <w:tcW w:w="376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5,82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14,88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7,31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125,55</w:t>
            </w:r>
          </w:p>
        </w:tc>
      </w:tr>
      <w:tr w:rsidR="0074186C" w:rsidRPr="001774D3" w:rsidTr="00EF063A">
        <w:trPr>
          <w:trHeight w:val="315"/>
        </w:trPr>
        <w:tc>
          <w:tcPr>
            <w:tcW w:w="8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Кичм</w:t>
            </w:r>
            <w:proofErr w:type="spellEnd"/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- Городецкий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7,84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7,72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238,06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85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Великоустюгский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5,74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11,41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6,92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120,73</w:t>
            </w:r>
          </w:p>
        </w:tc>
      </w:tr>
      <w:tr w:rsidR="0074186C" w:rsidRPr="001774D3" w:rsidTr="00EF063A">
        <w:trPr>
          <w:trHeight w:val="315"/>
        </w:trPr>
        <w:tc>
          <w:tcPr>
            <w:tcW w:w="8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Бабушкинский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7,10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235,74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85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Шекснинский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7,34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10,73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12,83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7,70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104,85</w:t>
            </w:r>
          </w:p>
        </w:tc>
      </w:tr>
      <w:tr w:rsidR="0074186C" w:rsidRPr="001774D3" w:rsidTr="00EF063A">
        <w:trPr>
          <w:trHeight w:val="315"/>
        </w:trPr>
        <w:tc>
          <w:tcPr>
            <w:tcW w:w="8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Вожегодский</w:t>
            </w:r>
            <w:proofErr w:type="spellEnd"/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8,07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223,97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85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Сокольский</w:t>
            </w:r>
            <w:proofErr w:type="spellEnd"/>
          </w:p>
        </w:tc>
        <w:tc>
          <w:tcPr>
            <w:tcW w:w="376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5,64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5,06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9,52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99,04</w:t>
            </w:r>
          </w:p>
        </w:tc>
      </w:tr>
      <w:tr w:rsidR="0074186C" w:rsidRPr="001774D3" w:rsidTr="00EF063A">
        <w:trPr>
          <w:trHeight w:val="315"/>
        </w:trPr>
        <w:tc>
          <w:tcPr>
            <w:tcW w:w="8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Тарногский</w:t>
            </w:r>
            <w:proofErr w:type="spellEnd"/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6,18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12,08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8,57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204,34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85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Череповец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22,64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16,84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13,03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10,32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45,57</w:t>
            </w:r>
          </w:p>
        </w:tc>
      </w:tr>
      <w:tr w:rsidR="0074186C" w:rsidRPr="001774D3" w:rsidTr="00EF063A">
        <w:trPr>
          <w:trHeight w:val="315"/>
        </w:trPr>
        <w:tc>
          <w:tcPr>
            <w:tcW w:w="8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Харовский</w:t>
            </w:r>
            <w:proofErr w:type="spellEnd"/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8,94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203,67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85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Вологда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28,51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16,90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12,33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9,28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74186C" w:rsidRPr="0074186C" w:rsidRDefault="0074186C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32,55</w:t>
            </w:r>
          </w:p>
        </w:tc>
      </w:tr>
      <w:tr w:rsidR="005A3DFD" w:rsidRPr="001774D3" w:rsidTr="00EF063A">
        <w:trPr>
          <w:trHeight w:val="315"/>
        </w:trPr>
        <w:tc>
          <w:tcPr>
            <w:tcW w:w="898" w:type="pct"/>
            <w:shd w:val="clear" w:color="auto" w:fill="auto"/>
            <w:vAlign w:val="center"/>
          </w:tcPr>
          <w:p w:rsidR="005A3DFD" w:rsidRPr="0074186C" w:rsidRDefault="005A3DFD" w:rsidP="007970F5">
            <w:pPr>
              <w:widowControl w:val="0"/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Вологодский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A3DFD" w:rsidRPr="0074186C" w:rsidRDefault="005A3DFD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5A3DFD" w:rsidRPr="0074186C" w:rsidRDefault="005A3DFD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4,66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A3DFD" w:rsidRPr="0074186C" w:rsidRDefault="005A3DFD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11,15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A3DFD" w:rsidRPr="0074186C" w:rsidRDefault="005A3DFD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8,73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5A3DFD" w:rsidRPr="0074186C" w:rsidRDefault="005A3DFD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190,47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:rsidR="005A3DFD" w:rsidRPr="00C45FD8" w:rsidRDefault="005A3DFD" w:rsidP="007970F5">
            <w:pPr>
              <w:widowControl w:val="0"/>
              <w:spacing w:after="0" w:line="240" w:lineRule="auto"/>
              <w:ind w:left="-85" w:right="-57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45FD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По области</w:t>
            </w:r>
          </w:p>
        </w:tc>
        <w:tc>
          <w:tcPr>
            <w:tcW w:w="376" w:type="pct"/>
            <w:vMerge w:val="restart"/>
            <w:shd w:val="clear" w:color="auto" w:fill="auto"/>
            <w:noWrap/>
            <w:vAlign w:val="center"/>
          </w:tcPr>
          <w:p w:rsidR="005A3DFD" w:rsidRPr="00C45FD8" w:rsidRDefault="005A3DFD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45FD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298" w:type="pct"/>
            <w:vMerge w:val="restart"/>
            <w:shd w:val="clear" w:color="auto" w:fill="auto"/>
            <w:noWrap/>
            <w:vAlign w:val="center"/>
          </w:tcPr>
          <w:p w:rsidR="005A3DFD" w:rsidRPr="00C45FD8" w:rsidRDefault="005A3DFD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45FD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11,31</w:t>
            </w:r>
          </w:p>
        </w:tc>
        <w:tc>
          <w:tcPr>
            <w:tcW w:w="298" w:type="pct"/>
            <w:vMerge w:val="restart"/>
            <w:shd w:val="clear" w:color="auto" w:fill="auto"/>
            <w:noWrap/>
            <w:vAlign w:val="center"/>
          </w:tcPr>
          <w:p w:rsidR="005A3DFD" w:rsidRPr="00C45FD8" w:rsidRDefault="005A3DFD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45FD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12,03</w:t>
            </w:r>
          </w:p>
        </w:tc>
        <w:tc>
          <w:tcPr>
            <w:tcW w:w="299" w:type="pct"/>
            <w:vMerge w:val="restart"/>
            <w:shd w:val="clear" w:color="auto" w:fill="auto"/>
            <w:noWrap/>
            <w:vAlign w:val="center"/>
          </w:tcPr>
          <w:p w:rsidR="005A3DFD" w:rsidRPr="00C45FD8" w:rsidRDefault="005A3DFD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45FD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</w:tcPr>
          <w:p w:rsidR="005A3DFD" w:rsidRPr="00C45FD8" w:rsidRDefault="005A3DFD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45FD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60,54</w:t>
            </w:r>
          </w:p>
        </w:tc>
      </w:tr>
      <w:tr w:rsidR="005A3DFD" w:rsidRPr="001774D3" w:rsidTr="00EF063A">
        <w:trPr>
          <w:trHeight w:val="315"/>
        </w:trPr>
        <w:tc>
          <w:tcPr>
            <w:tcW w:w="898" w:type="pct"/>
            <w:shd w:val="clear" w:color="auto" w:fill="auto"/>
            <w:vAlign w:val="center"/>
          </w:tcPr>
          <w:p w:rsidR="005A3DFD" w:rsidRPr="0074186C" w:rsidRDefault="005A3DFD" w:rsidP="007970F5">
            <w:pPr>
              <w:widowControl w:val="0"/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Кирилловский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A3DFD" w:rsidRPr="0074186C" w:rsidRDefault="005A3DFD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5,81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5A3DFD" w:rsidRPr="0074186C" w:rsidRDefault="005A3DFD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6,53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A3DFD" w:rsidRPr="0074186C" w:rsidRDefault="005A3DFD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12,39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A3DFD" w:rsidRPr="0074186C" w:rsidRDefault="005A3DFD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10,55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5A3DFD" w:rsidRPr="0074186C" w:rsidRDefault="005A3DFD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1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181,65</w:t>
            </w:r>
          </w:p>
        </w:tc>
        <w:tc>
          <w:tcPr>
            <w:tcW w:w="786" w:type="pct"/>
            <w:vMerge/>
            <w:shd w:val="clear" w:color="auto" w:fill="auto"/>
            <w:vAlign w:val="bottom"/>
          </w:tcPr>
          <w:p w:rsidR="005A3DFD" w:rsidRPr="0074186C" w:rsidRDefault="005A3DFD" w:rsidP="007970F5">
            <w:pPr>
              <w:widowControl w:val="0"/>
              <w:spacing w:after="0" w:line="240" w:lineRule="auto"/>
              <w:ind w:left="-85" w:right="-8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bottom"/>
          </w:tcPr>
          <w:p w:rsidR="005A3DFD" w:rsidRPr="0074186C" w:rsidRDefault="005A3DFD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  <w:noWrap/>
            <w:vAlign w:val="bottom"/>
          </w:tcPr>
          <w:p w:rsidR="005A3DFD" w:rsidRPr="0074186C" w:rsidRDefault="005A3DFD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  <w:noWrap/>
            <w:vAlign w:val="bottom"/>
          </w:tcPr>
          <w:p w:rsidR="005A3DFD" w:rsidRPr="0074186C" w:rsidRDefault="005A3DFD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bottom"/>
          </w:tcPr>
          <w:p w:rsidR="005A3DFD" w:rsidRPr="0074186C" w:rsidRDefault="005A3DFD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vAlign w:val="bottom"/>
          </w:tcPr>
          <w:p w:rsidR="005A3DFD" w:rsidRPr="0074186C" w:rsidRDefault="005A3DFD" w:rsidP="007970F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05533" w:rsidRDefault="008C4B55" w:rsidP="007970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5A3DFD" w:rsidRPr="005A3DFD">
        <w:rPr>
          <w:rFonts w:ascii="Times New Roman" w:hAnsi="Times New Roman" w:cs="Times New Roman"/>
          <w:sz w:val="24"/>
          <w:szCs w:val="24"/>
        </w:rPr>
        <w:t>База данных «Показатели муниципальных образований» [Электронный ресурс]. – Режим доступа: http://www.gks.ru/free_doc/new_site/bd_munst/munst.htm</w:t>
      </w:r>
    </w:p>
    <w:p w:rsidR="008C4B55" w:rsidRDefault="008C4B55" w:rsidP="007970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DFD" w:rsidRDefault="0038194D" w:rsidP="007970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базисных составляющих бюджетной системы муниципальных образований по итогам реформирования стали бюджеты поселенческого уровня. </w:t>
      </w:r>
      <w:r w:rsidR="005A3DFD">
        <w:rPr>
          <w:rFonts w:ascii="Times New Roman" w:hAnsi="Times New Roman" w:cs="Times New Roman"/>
          <w:sz w:val="24"/>
          <w:szCs w:val="24"/>
        </w:rPr>
        <w:t>Уровень самофинансирования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бюджетов</w:t>
      </w:r>
      <w:r w:rsidR="005A3DFD">
        <w:rPr>
          <w:rFonts w:ascii="Times New Roman" w:hAnsi="Times New Roman" w:cs="Times New Roman"/>
          <w:sz w:val="24"/>
          <w:szCs w:val="24"/>
        </w:rPr>
        <w:t xml:space="preserve"> городских и сельских поселений в целом за рассматриваемый период изменялся неравномерно: возрастал к 2012 – 2014 гг. по сравнению с 2006 годом и несколько уменьшился к 2015 году.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Однако вследствие недостаточности собственных доходных источников </w:t>
      </w:r>
      <w:r w:rsidR="00E55E4B">
        <w:rPr>
          <w:rFonts w:ascii="Times New Roman" w:hAnsi="Times New Roman" w:cs="Times New Roman"/>
          <w:sz w:val="24"/>
          <w:szCs w:val="24"/>
        </w:rPr>
        <w:t xml:space="preserve">доля </w:t>
      </w:r>
      <w:r w:rsidR="001F73C9">
        <w:rPr>
          <w:rFonts w:ascii="Times New Roman" w:hAnsi="Times New Roman" w:cs="Times New Roman"/>
          <w:sz w:val="24"/>
          <w:szCs w:val="24"/>
        </w:rPr>
        <w:t>налоговых и неналоговых</w:t>
      </w:r>
      <w:r w:rsidR="00E55E4B">
        <w:rPr>
          <w:rFonts w:ascii="Times New Roman" w:hAnsi="Times New Roman" w:cs="Times New Roman"/>
          <w:sz w:val="24"/>
          <w:szCs w:val="24"/>
        </w:rPr>
        <w:t xml:space="preserve"> доходов поселений в совокупных практически</w:t>
      </w:r>
      <w:r w:rsidR="007970F5">
        <w:rPr>
          <w:rFonts w:ascii="Times New Roman" w:hAnsi="Times New Roman" w:cs="Times New Roman"/>
          <w:sz w:val="24"/>
          <w:szCs w:val="24"/>
        </w:rPr>
        <w:t xml:space="preserve"> во все годы не превышала 40%. </w:t>
      </w:r>
      <w:r w:rsidR="00E55E4B">
        <w:rPr>
          <w:rFonts w:ascii="Times New Roman" w:hAnsi="Times New Roman" w:cs="Times New Roman"/>
          <w:sz w:val="24"/>
          <w:szCs w:val="24"/>
        </w:rPr>
        <w:t xml:space="preserve"> На снижение финансовой </w:t>
      </w:r>
      <w:r w:rsidR="007970F5">
        <w:rPr>
          <w:rFonts w:ascii="Times New Roman" w:hAnsi="Times New Roman" w:cs="Times New Roman"/>
          <w:sz w:val="24"/>
          <w:szCs w:val="24"/>
        </w:rPr>
        <w:t>автономии</w:t>
      </w:r>
      <w:r w:rsidR="00E55E4B">
        <w:rPr>
          <w:rFonts w:ascii="Times New Roman" w:hAnsi="Times New Roman" w:cs="Times New Roman"/>
          <w:sz w:val="24"/>
          <w:szCs w:val="24"/>
        </w:rPr>
        <w:t xml:space="preserve"> бюджетов городских и сельских поселений помимо </w:t>
      </w:r>
      <w:proofErr w:type="spellStart"/>
      <w:r w:rsidR="00E55E4B">
        <w:rPr>
          <w:rFonts w:ascii="Times New Roman" w:hAnsi="Times New Roman" w:cs="Times New Roman"/>
          <w:sz w:val="24"/>
          <w:szCs w:val="24"/>
        </w:rPr>
        <w:t>перераспределительной</w:t>
      </w:r>
      <w:proofErr w:type="spellEnd"/>
      <w:r w:rsidR="00E55E4B">
        <w:rPr>
          <w:rFonts w:ascii="Times New Roman" w:hAnsi="Times New Roman" w:cs="Times New Roman"/>
          <w:sz w:val="24"/>
          <w:szCs w:val="24"/>
        </w:rPr>
        <w:t xml:space="preserve"> политики значительное влияние оказывала и существенная дифференциация поселений по уровню социально-экономического развития</w:t>
      </w:r>
      <w:r w:rsidR="00C00B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022E" w:rsidRDefault="00FC6174" w:rsidP="007970F5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174">
        <w:rPr>
          <w:rFonts w:ascii="Times New Roman" w:eastAsia="Calibri" w:hAnsi="Times New Roman" w:cs="Times New Roman"/>
          <w:sz w:val="24"/>
          <w:szCs w:val="24"/>
        </w:rPr>
        <w:lastRenderedPageBreak/>
        <w:t>Так, сравним основные бюджетные параметры по двум поселениям</w:t>
      </w:r>
      <w:r w:rsidR="001A022E">
        <w:rPr>
          <w:rFonts w:ascii="Times New Roman" w:eastAsia="Calibri" w:hAnsi="Times New Roman" w:cs="Times New Roman"/>
          <w:sz w:val="24"/>
          <w:szCs w:val="24"/>
        </w:rPr>
        <w:t xml:space="preserve">, расположенным в </w:t>
      </w:r>
      <w:r w:rsidR="007970F5">
        <w:rPr>
          <w:rFonts w:ascii="Times New Roman" w:eastAsia="Calibri" w:hAnsi="Times New Roman" w:cs="Times New Roman"/>
          <w:sz w:val="24"/>
          <w:szCs w:val="24"/>
        </w:rPr>
        <w:t>территориально</w:t>
      </w:r>
      <w:r w:rsidR="001A022E">
        <w:rPr>
          <w:rFonts w:ascii="Times New Roman" w:eastAsia="Calibri" w:hAnsi="Times New Roman" w:cs="Times New Roman"/>
          <w:sz w:val="24"/>
          <w:szCs w:val="24"/>
        </w:rPr>
        <w:t xml:space="preserve"> приближенном к областному центру муниципальном районе</w:t>
      </w:r>
      <w:r w:rsidRPr="00FC6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22E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1A022E">
        <w:rPr>
          <w:rFonts w:ascii="Times New Roman" w:eastAsia="Calibri" w:hAnsi="Times New Roman" w:cs="Times New Roman"/>
          <w:sz w:val="24"/>
          <w:szCs w:val="24"/>
        </w:rPr>
        <w:t>Ростиловское</w:t>
      </w:r>
      <w:proofErr w:type="spellEnd"/>
      <w:r w:rsidR="001A022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1A022E">
        <w:rPr>
          <w:rFonts w:ascii="Times New Roman" w:eastAsia="Calibri" w:hAnsi="Times New Roman" w:cs="Times New Roman"/>
          <w:sz w:val="24"/>
          <w:szCs w:val="24"/>
        </w:rPr>
        <w:t>Грязовецкого</w:t>
      </w:r>
      <w:proofErr w:type="spellEnd"/>
      <w:r w:rsidR="001A022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района) </w:t>
      </w:r>
      <w:r w:rsidR="004852F8">
        <w:rPr>
          <w:rFonts w:ascii="Times New Roman" w:eastAsia="Calibri" w:hAnsi="Times New Roman" w:cs="Times New Roman"/>
          <w:sz w:val="24"/>
          <w:szCs w:val="24"/>
        </w:rPr>
        <w:t>и отдаленном районе (</w:t>
      </w:r>
      <w:proofErr w:type="spellStart"/>
      <w:r w:rsidR="004852F8">
        <w:rPr>
          <w:rFonts w:ascii="Times New Roman" w:eastAsia="Calibri" w:hAnsi="Times New Roman" w:cs="Times New Roman"/>
          <w:sz w:val="24"/>
          <w:szCs w:val="24"/>
        </w:rPr>
        <w:t>Верховское</w:t>
      </w:r>
      <w:proofErr w:type="spellEnd"/>
      <w:r w:rsidR="004852F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1A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022E">
        <w:rPr>
          <w:rFonts w:ascii="Times New Roman" w:eastAsia="Calibri" w:hAnsi="Times New Roman" w:cs="Times New Roman"/>
          <w:sz w:val="24"/>
          <w:szCs w:val="24"/>
        </w:rPr>
        <w:t>Тарногского</w:t>
      </w:r>
      <w:proofErr w:type="spellEnd"/>
      <w:r w:rsidRPr="00FC6174">
        <w:rPr>
          <w:rFonts w:ascii="Times New Roman" w:eastAsia="Calibri" w:hAnsi="Times New Roman" w:cs="Times New Roman"/>
          <w:sz w:val="24"/>
          <w:szCs w:val="24"/>
        </w:rPr>
        <w:t xml:space="preserve"> муниципа</w:t>
      </w:r>
      <w:r w:rsidR="00475F29">
        <w:rPr>
          <w:rFonts w:ascii="Times New Roman" w:eastAsia="Calibri" w:hAnsi="Times New Roman" w:cs="Times New Roman"/>
          <w:sz w:val="24"/>
          <w:szCs w:val="24"/>
        </w:rPr>
        <w:t>льн</w:t>
      </w:r>
      <w:r w:rsidR="004852F8">
        <w:rPr>
          <w:rFonts w:ascii="Times New Roman" w:eastAsia="Calibri" w:hAnsi="Times New Roman" w:cs="Times New Roman"/>
          <w:sz w:val="24"/>
          <w:szCs w:val="24"/>
        </w:rPr>
        <w:t xml:space="preserve">ого района) </w:t>
      </w:r>
      <w:r w:rsidR="001A022E">
        <w:rPr>
          <w:rFonts w:ascii="Times New Roman" w:eastAsia="Calibri" w:hAnsi="Times New Roman" w:cs="Times New Roman"/>
          <w:sz w:val="24"/>
          <w:szCs w:val="24"/>
        </w:rPr>
        <w:t>(табл. 3)</w:t>
      </w:r>
      <w:r w:rsidR="00475F29">
        <w:rPr>
          <w:rFonts w:ascii="Times New Roman" w:eastAsia="Calibri" w:hAnsi="Times New Roman" w:cs="Times New Roman"/>
          <w:sz w:val="24"/>
          <w:szCs w:val="24"/>
        </w:rPr>
        <w:t>.</w:t>
      </w:r>
      <w:r w:rsidR="004852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022E" w:rsidRPr="00FC6174" w:rsidRDefault="001A022E" w:rsidP="007970F5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3</w:t>
      </w:r>
      <w:r w:rsidRPr="00FC6174">
        <w:rPr>
          <w:rFonts w:ascii="Times New Roman" w:eastAsia="Calibri" w:hAnsi="Times New Roman" w:cs="Times New Roman"/>
          <w:sz w:val="24"/>
          <w:szCs w:val="24"/>
        </w:rPr>
        <w:t xml:space="preserve"> – Основные параметры бюджетов </w:t>
      </w:r>
      <w:proofErr w:type="spellStart"/>
      <w:r w:rsidRPr="00FC6174">
        <w:rPr>
          <w:rFonts w:ascii="Times New Roman" w:eastAsia="Calibri" w:hAnsi="Times New Roman" w:cs="Times New Roman"/>
          <w:sz w:val="24"/>
          <w:szCs w:val="24"/>
        </w:rPr>
        <w:t>Ростиловского</w:t>
      </w:r>
      <w:proofErr w:type="spellEnd"/>
      <w:r w:rsidRPr="00FC617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C6174">
        <w:rPr>
          <w:rFonts w:ascii="Times New Roman" w:eastAsia="Calibri" w:hAnsi="Times New Roman" w:cs="Times New Roman"/>
          <w:sz w:val="24"/>
          <w:szCs w:val="24"/>
        </w:rPr>
        <w:t>Верховского</w:t>
      </w:r>
      <w:proofErr w:type="spellEnd"/>
      <w:r w:rsidRPr="00FC6174">
        <w:rPr>
          <w:rFonts w:ascii="Times New Roman" w:eastAsia="Calibri" w:hAnsi="Times New Roman" w:cs="Times New Roman"/>
          <w:sz w:val="24"/>
          <w:szCs w:val="24"/>
        </w:rPr>
        <w:t xml:space="preserve"> сельских поселений</w:t>
      </w:r>
    </w:p>
    <w:tbl>
      <w:tblPr>
        <w:tblStyle w:val="a5"/>
        <w:tblW w:w="4891" w:type="pct"/>
        <w:tblInd w:w="108" w:type="dxa"/>
        <w:tblLook w:val="04A0" w:firstRow="1" w:lastRow="0" w:firstColumn="1" w:lastColumn="0" w:noHBand="0" w:noVBand="1"/>
      </w:tblPr>
      <w:tblGrid>
        <w:gridCol w:w="1495"/>
        <w:gridCol w:w="1174"/>
        <w:gridCol w:w="1176"/>
        <w:gridCol w:w="1178"/>
        <w:gridCol w:w="1180"/>
        <w:gridCol w:w="1180"/>
        <w:gridCol w:w="1180"/>
        <w:gridCol w:w="1076"/>
      </w:tblGrid>
      <w:tr w:rsidR="001A022E" w:rsidRPr="00FC6174" w:rsidTr="00EF063A">
        <w:tc>
          <w:tcPr>
            <w:tcW w:w="776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5D8">
              <w:rPr>
                <w:rFonts w:ascii="Arial" w:hAnsi="Arial" w:cs="Arial"/>
                <w:sz w:val="18"/>
                <w:szCs w:val="18"/>
              </w:rPr>
              <w:t>Поселение</w:t>
            </w:r>
          </w:p>
        </w:tc>
        <w:tc>
          <w:tcPr>
            <w:tcW w:w="609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5D8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610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5D8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611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5D8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612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5D8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612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5D8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612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5D8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557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5D8">
              <w:rPr>
                <w:rFonts w:ascii="Arial" w:hAnsi="Arial" w:cs="Arial"/>
                <w:sz w:val="18"/>
                <w:szCs w:val="18"/>
              </w:rPr>
              <w:t>2015 к 2006, %</w:t>
            </w:r>
          </w:p>
        </w:tc>
      </w:tr>
      <w:tr w:rsidR="001A022E" w:rsidRPr="00FC6174" w:rsidTr="00EF063A">
        <w:tc>
          <w:tcPr>
            <w:tcW w:w="5000" w:type="pct"/>
            <w:gridSpan w:val="8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5D8">
              <w:rPr>
                <w:rFonts w:ascii="Arial" w:hAnsi="Arial" w:cs="Arial"/>
                <w:sz w:val="18"/>
                <w:szCs w:val="18"/>
              </w:rPr>
              <w:t xml:space="preserve">Удельный вес собственных доходов </w:t>
            </w:r>
            <w:proofErr w:type="gramStart"/>
            <w:r w:rsidRPr="006F05D8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6F05D8">
              <w:rPr>
                <w:rFonts w:ascii="Arial" w:hAnsi="Arial" w:cs="Arial"/>
                <w:sz w:val="18"/>
                <w:szCs w:val="18"/>
              </w:rPr>
              <w:t xml:space="preserve"> совокупных, %</w:t>
            </w:r>
          </w:p>
        </w:tc>
      </w:tr>
      <w:tr w:rsidR="001A022E" w:rsidRPr="00FC6174" w:rsidTr="006F05D8">
        <w:tc>
          <w:tcPr>
            <w:tcW w:w="776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5D8">
              <w:rPr>
                <w:rFonts w:ascii="Arial" w:hAnsi="Arial" w:cs="Arial"/>
                <w:sz w:val="18"/>
                <w:szCs w:val="18"/>
              </w:rPr>
              <w:t>Ростиловское</w:t>
            </w:r>
            <w:proofErr w:type="spellEnd"/>
          </w:p>
        </w:tc>
        <w:tc>
          <w:tcPr>
            <w:tcW w:w="609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78,67</w:t>
            </w:r>
          </w:p>
        </w:tc>
        <w:tc>
          <w:tcPr>
            <w:tcW w:w="610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72,55</w:t>
            </w:r>
          </w:p>
        </w:tc>
        <w:tc>
          <w:tcPr>
            <w:tcW w:w="611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98,21</w:t>
            </w:r>
          </w:p>
        </w:tc>
        <w:tc>
          <w:tcPr>
            <w:tcW w:w="612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88,27</w:t>
            </w:r>
          </w:p>
        </w:tc>
        <w:tc>
          <w:tcPr>
            <w:tcW w:w="612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80,01</w:t>
            </w:r>
          </w:p>
        </w:tc>
        <w:tc>
          <w:tcPr>
            <w:tcW w:w="612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68,79</w:t>
            </w:r>
          </w:p>
        </w:tc>
        <w:tc>
          <w:tcPr>
            <w:tcW w:w="557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87,45</w:t>
            </w:r>
          </w:p>
        </w:tc>
      </w:tr>
      <w:tr w:rsidR="001A022E" w:rsidRPr="00FC6174" w:rsidTr="006F05D8">
        <w:tc>
          <w:tcPr>
            <w:tcW w:w="776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5D8">
              <w:rPr>
                <w:rFonts w:ascii="Arial" w:hAnsi="Arial" w:cs="Arial"/>
                <w:sz w:val="18"/>
                <w:szCs w:val="18"/>
              </w:rPr>
              <w:t>Верховское</w:t>
            </w:r>
            <w:proofErr w:type="spellEnd"/>
          </w:p>
        </w:tc>
        <w:tc>
          <w:tcPr>
            <w:tcW w:w="609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8,63</w:t>
            </w:r>
          </w:p>
        </w:tc>
        <w:tc>
          <w:tcPr>
            <w:tcW w:w="610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10,98</w:t>
            </w:r>
          </w:p>
        </w:tc>
        <w:tc>
          <w:tcPr>
            <w:tcW w:w="611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10,85</w:t>
            </w:r>
          </w:p>
        </w:tc>
        <w:tc>
          <w:tcPr>
            <w:tcW w:w="612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11,91</w:t>
            </w:r>
          </w:p>
        </w:tc>
        <w:tc>
          <w:tcPr>
            <w:tcW w:w="612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12,76</w:t>
            </w:r>
          </w:p>
        </w:tc>
        <w:tc>
          <w:tcPr>
            <w:tcW w:w="612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20,70</w:t>
            </w:r>
          </w:p>
        </w:tc>
        <w:tc>
          <w:tcPr>
            <w:tcW w:w="557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239,82</w:t>
            </w:r>
          </w:p>
        </w:tc>
      </w:tr>
      <w:tr w:rsidR="001A022E" w:rsidRPr="00FC6174" w:rsidTr="00EF063A">
        <w:tc>
          <w:tcPr>
            <w:tcW w:w="5000" w:type="pct"/>
            <w:gridSpan w:val="8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5D8">
              <w:rPr>
                <w:rFonts w:ascii="Arial" w:hAnsi="Arial" w:cs="Arial"/>
                <w:sz w:val="18"/>
                <w:szCs w:val="18"/>
              </w:rPr>
              <w:t>Дефицит / Профицит местного бюджета, тыс. руб.</w:t>
            </w:r>
          </w:p>
        </w:tc>
      </w:tr>
      <w:tr w:rsidR="001A022E" w:rsidRPr="00FC6174" w:rsidTr="00EF063A">
        <w:tc>
          <w:tcPr>
            <w:tcW w:w="776" w:type="pct"/>
          </w:tcPr>
          <w:p w:rsidR="001A022E" w:rsidRPr="006F05D8" w:rsidRDefault="001A022E" w:rsidP="00D85231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5D8">
              <w:rPr>
                <w:rFonts w:ascii="Arial" w:hAnsi="Arial" w:cs="Arial"/>
                <w:sz w:val="18"/>
                <w:szCs w:val="18"/>
              </w:rPr>
              <w:t>Ростиловское</w:t>
            </w:r>
            <w:proofErr w:type="spellEnd"/>
          </w:p>
        </w:tc>
        <w:tc>
          <w:tcPr>
            <w:tcW w:w="609" w:type="pct"/>
            <w:vAlign w:val="bottom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10" w:type="pct"/>
            <w:vAlign w:val="bottom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-83</w:t>
            </w:r>
          </w:p>
        </w:tc>
        <w:tc>
          <w:tcPr>
            <w:tcW w:w="611" w:type="pct"/>
            <w:vAlign w:val="bottom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-15</w:t>
            </w:r>
          </w:p>
        </w:tc>
        <w:tc>
          <w:tcPr>
            <w:tcW w:w="612" w:type="pct"/>
            <w:vAlign w:val="bottom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-82</w:t>
            </w:r>
          </w:p>
        </w:tc>
        <w:tc>
          <w:tcPr>
            <w:tcW w:w="612" w:type="pct"/>
            <w:vAlign w:val="bottom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-22</w:t>
            </w:r>
          </w:p>
        </w:tc>
        <w:tc>
          <w:tcPr>
            <w:tcW w:w="612" w:type="pct"/>
            <w:vAlign w:val="bottom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-26</w:t>
            </w:r>
          </w:p>
        </w:tc>
        <w:tc>
          <w:tcPr>
            <w:tcW w:w="557" w:type="pct"/>
            <w:vAlign w:val="bottom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50,98</w:t>
            </w:r>
          </w:p>
        </w:tc>
      </w:tr>
      <w:tr w:rsidR="001A022E" w:rsidRPr="00FC6174" w:rsidTr="00EF063A">
        <w:tc>
          <w:tcPr>
            <w:tcW w:w="776" w:type="pct"/>
          </w:tcPr>
          <w:p w:rsidR="001A022E" w:rsidRPr="006F05D8" w:rsidRDefault="001A022E" w:rsidP="00D85231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5D8">
              <w:rPr>
                <w:rFonts w:ascii="Arial" w:hAnsi="Arial" w:cs="Arial"/>
                <w:sz w:val="18"/>
                <w:szCs w:val="18"/>
              </w:rPr>
              <w:t>Верховское</w:t>
            </w:r>
            <w:proofErr w:type="spellEnd"/>
          </w:p>
        </w:tc>
        <w:tc>
          <w:tcPr>
            <w:tcW w:w="609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-26</w:t>
            </w:r>
          </w:p>
        </w:tc>
        <w:tc>
          <w:tcPr>
            <w:tcW w:w="610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11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612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-81,1</w:t>
            </w:r>
          </w:p>
        </w:tc>
        <w:tc>
          <w:tcPr>
            <w:tcW w:w="612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612" w:type="pct"/>
            <w:vAlign w:val="center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-424</w:t>
            </w:r>
          </w:p>
        </w:tc>
        <w:tc>
          <w:tcPr>
            <w:tcW w:w="557" w:type="pct"/>
            <w:vAlign w:val="bottom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1630,77</w:t>
            </w:r>
          </w:p>
        </w:tc>
      </w:tr>
      <w:tr w:rsidR="001A022E" w:rsidRPr="00FC6174" w:rsidTr="00EF063A">
        <w:tc>
          <w:tcPr>
            <w:tcW w:w="5000" w:type="pct"/>
            <w:gridSpan w:val="8"/>
          </w:tcPr>
          <w:p w:rsidR="001A022E" w:rsidRPr="00D85231" w:rsidRDefault="001A022E" w:rsidP="00D85231">
            <w:pPr>
              <w:widowControl w:val="0"/>
              <w:spacing w:before="12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85231">
              <w:rPr>
                <w:rFonts w:ascii="Arial" w:hAnsi="Arial" w:cs="Arial"/>
                <w:spacing w:val="-4"/>
                <w:sz w:val="18"/>
                <w:szCs w:val="18"/>
              </w:rPr>
              <w:t>Бюджетная обеспеченность собственными доходами на душу населения, тыс. руб</w:t>
            </w:r>
            <w:proofErr w:type="gramStart"/>
            <w:r w:rsidRPr="00D85231">
              <w:rPr>
                <w:rFonts w:ascii="Arial" w:hAnsi="Arial" w:cs="Arial"/>
                <w:spacing w:val="-4"/>
                <w:sz w:val="18"/>
                <w:szCs w:val="18"/>
              </w:rPr>
              <w:t>.(</w:t>
            </w:r>
            <w:proofErr w:type="gramEnd"/>
            <w:r w:rsidRPr="00D85231">
              <w:rPr>
                <w:rFonts w:ascii="Arial" w:hAnsi="Arial" w:cs="Arial"/>
                <w:spacing w:val="-4"/>
                <w:sz w:val="18"/>
                <w:szCs w:val="18"/>
              </w:rPr>
              <w:t>в сопоставимых ценах 2015 г.)</w:t>
            </w:r>
          </w:p>
        </w:tc>
      </w:tr>
      <w:tr w:rsidR="001A022E" w:rsidRPr="00FC6174" w:rsidTr="00EF063A">
        <w:tc>
          <w:tcPr>
            <w:tcW w:w="776" w:type="pct"/>
          </w:tcPr>
          <w:p w:rsidR="001A022E" w:rsidRPr="006F05D8" w:rsidRDefault="001A022E" w:rsidP="00D85231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5D8">
              <w:rPr>
                <w:rFonts w:ascii="Arial" w:hAnsi="Arial" w:cs="Arial"/>
                <w:sz w:val="18"/>
                <w:szCs w:val="18"/>
              </w:rPr>
              <w:t>Ростиловское</w:t>
            </w:r>
            <w:proofErr w:type="spellEnd"/>
          </w:p>
        </w:tc>
        <w:tc>
          <w:tcPr>
            <w:tcW w:w="609" w:type="pct"/>
            <w:vAlign w:val="bottom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5,53</w:t>
            </w:r>
          </w:p>
        </w:tc>
        <w:tc>
          <w:tcPr>
            <w:tcW w:w="610" w:type="pct"/>
            <w:vAlign w:val="bottom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5,58</w:t>
            </w:r>
          </w:p>
        </w:tc>
        <w:tc>
          <w:tcPr>
            <w:tcW w:w="611" w:type="pct"/>
            <w:vAlign w:val="bottom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6,19</w:t>
            </w:r>
          </w:p>
        </w:tc>
        <w:tc>
          <w:tcPr>
            <w:tcW w:w="612" w:type="pct"/>
            <w:vAlign w:val="bottom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6,75</w:t>
            </w:r>
          </w:p>
        </w:tc>
        <w:tc>
          <w:tcPr>
            <w:tcW w:w="612" w:type="pct"/>
            <w:vAlign w:val="bottom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5,31</w:t>
            </w:r>
          </w:p>
        </w:tc>
        <w:tc>
          <w:tcPr>
            <w:tcW w:w="612" w:type="pct"/>
            <w:vAlign w:val="bottom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3,21</w:t>
            </w:r>
          </w:p>
        </w:tc>
        <w:tc>
          <w:tcPr>
            <w:tcW w:w="557" w:type="pct"/>
            <w:vAlign w:val="bottom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58,03</w:t>
            </w:r>
          </w:p>
        </w:tc>
      </w:tr>
      <w:tr w:rsidR="001A022E" w:rsidRPr="00FC6174" w:rsidTr="00EF063A">
        <w:tc>
          <w:tcPr>
            <w:tcW w:w="776" w:type="pct"/>
          </w:tcPr>
          <w:p w:rsidR="001A022E" w:rsidRPr="006F05D8" w:rsidRDefault="007C19B4" w:rsidP="00D85231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Вер</w:t>
            </w:r>
            <w:r w:rsidR="001A022E" w:rsidRPr="006F05D8">
              <w:rPr>
                <w:rFonts w:ascii="Arial" w:hAnsi="Arial" w:cs="Arial"/>
                <w:sz w:val="18"/>
                <w:szCs w:val="18"/>
              </w:rPr>
              <w:t>ховское</w:t>
            </w:r>
            <w:proofErr w:type="spellEnd"/>
          </w:p>
        </w:tc>
        <w:tc>
          <w:tcPr>
            <w:tcW w:w="609" w:type="pct"/>
            <w:vAlign w:val="bottom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610" w:type="pct"/>
            <w:vAlign w:val="bottom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611" w:type="pct"/>
            <w:vAlign w:val="bottom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612" w:type="pct"/>
            <w:vAlign w:val="bottom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612" w:type="pct"/>
            <w:vAlign w:val="bottom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612" w:type="pct"/>
            <w:vAlign w:val="bottom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557" w:type="pct"/>
            <w:vAlign w:val="bottom"/>
          </w:tcPr>
          <w:p w:rsidR="001A022E" w:rsidRPr="006F05D8" w:rsidRDefault="001A022E" w:rsidP="00D85231">
            <w:pPr>
              <w:widowControl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D8">
              <w:rPr>
                <w:rFonts w:ascii="Arial" w:hAnsi="Arial" w:cs="Arial"/>
                <w:color w:val="000000"/>
                <w:sz w:val="18"/>
                <w:szCs w:val="18"/>
              </w:rPr>
              <w:t>180,30</w:t>
            </w:r>
          </w:p>
        </w:tc>
      </w:tr>
    </w:tbl>
    <w:p w:rsidR="00FC6174" w:rsidRDefault="00EF063A" w:rsidP="007970F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63A">
        <w:rPr>
          <w:rFonts w:ascii="Times New Roman" w:eastAsia="Calibri" w:hAnsi="Times New Roman" w:cs="Times New Roman"/>
          <w:sz w:val="24"/>
          <w:szCs w:val="24"/>
        </w:rPr>
        <w:t>Источник: База данных «Показатели муниципальных образований» [Электронный ресурс]. – Режим доступа: http://www.gks.ru/free_doc/new_site/bd_munst/munst.htm</w:t>
      </w:r>
    </w:p>
    <w:p w:rsidR="00EF063A" w:rsidRPr="00FC6174" w:rsidRDefault="00EF063A" w:rsidP="007970F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52F8" w:rsidRDefault="004852F8" w:rsidP="007970F5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</w:t>
      </w:r>
      <w:proofErr w:type="spellStart"/>
      <w:r w:rsidRPr="004852F8">
        <w:rPr>
          <w:rFonts w:ascii="Times New Roman" w:eastAsia="Calibri" w:hAnsi="Times New Roman" w:cs="Times New Roman"/>
          <w:sz w:val="24"/>
          <w:szCs w:val="24"/>
        </w:rPr>
        <w:t>Ростиловское</w:t>
      </w:r>
      <w:proofErr w:type="spellEnd"/>
      <w:r w:rsidRPr="004852F8">
        <w:rPr>
          <w:rFonts w:ascii="Times New Roman" w:eastAsia="Calibri" w:hAnsi="Times New Roman" w:cs="Times New Roman"/>
          <w:sz w:val="24"/>
          <w:szCs w:val="24"/>
        </w:rPr>
        <w:t xml:space="preserve"> расположено в южной части </w:t>
      </w:r>
      <w:proofErr w:type="spellStart"/>
      <w:r w:rsidRPr="004852F8">
        <w:rPr>
          <w:rFonts w:ascii="Times New Roman" w:eastAsia="Calibri" w:hAnsi="Times New Roman" w:cs="Times New Roman"/>
          <w:sz w:val="24"/>
          <w:szCs w:val="24"/>
        </w:rPr>
        <w:t>Грязовецкого</w:t>
      </w:r>
      <w:proofErr w:type="spellEnd"/>
      <w:r w:rsidRPr="004852F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Вологодской области, имеет выгодное эко</w:t>
      </w:r>
      <w:r w:rsidR="007970F5">
        <w:rPr>
          <w:rFonts w:ascii="Times New Roman" w:eastAsia="Calibri" w:hAnsi="Times New Roman" w:cs="Times New Roman"/>
          <w:sz w:val="24"/>
          <w:szCs w:val="24"/>
        </w:rPr>
        <w:t>номико-географическое положение (</w:t>
      </w:r>
      <w:r w:rsidRPr="004852F8">
        <w:rPr>
          <w:rFonts w:ascii="Times New Roman" w:eastAsia="Calibri" w:hAnsi="Times New Roman" w:cs="Times New Roman"/>
          <w:sz w:val="24"/>
          <w:szCs w:val="24"/>
        </w:rPr>
        <w:t>областной центр располагается в 47 км</w:t>
      </w:r>
      <w:r w:rsidR="007970F5">
        <w:rPr>
          <w:rFonts w:ascii="Times New Roman" w:eastAsia="Calibri" w:hAnsi="Times New Roman" w:cs="Times New Roman"/>
          <w:sz w:val="24"/>
          <w:szCs w:val="24"/>
        </w:rPr>
        <w:t>), является важным транспортным узлом.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территории поселения расположены 23 предприятия, в том числе </w:t>
      </w:r>
      <w:proofErr w:type="spellStart"/>
      <w:r w:rsidRPr="004852F8">
        <w:rPr>
          <w:rFonts w:ascii="Times New Roman" w:eastAsia="Calibri" w:hAnsi="Times New Roman" w:cs="Times New Roman"/>
          <w:sz w:val="24"/>
          <w:szCs w:val="24"/>
        </w:rPr>
        <w:t>Грязовецкое</w:t>
      </w:r>
      <w:proofErr w:type="spellEnd"/>
      <w:r w:rsidRPr="004852F8">
        <w:rPr>
          <w:rFonts w:ascii="Times New Roman" w:eastAsia="Calibri" w:hAnsi="Times New Roman" w:cs="Times New Roman"/>
          <w:sz w:val="24"/>
          <w:szCs w:val="24"/>
        </w:rPr>
        <w:t xml:space="preserve"> ЛПУ МГ ООО «Газпром </w:t>
      </w:r>
      <w:proofErr w:type="spellStart"/>
      <w:r w:rsidRPr="004852F8">
        <w:rPr>
          <w:rFonts w:ascii="Times New Roman" w:eastAsia="Calibri" w:hAnsi="Times New Roman" w:cs="Times New Roman"/>
          <w:sz w:val="24"/>
          <w:szCs w:val="24"/>
        </w:rPr>
        <w:t>трансгаз</w:t>
      </w:r>
      <w:proofErr w:type="spellEnd"/>
      <w:r w:rsidRPr="004852F8">
        <w:rPr>
          <w:rFonts w:ascii="Times New Roman" w:eastAsia="Calibri" w:hAnsi="Times New Roman" w:cs="Times New Roman"/>
          <w:sz w:val="24"/>
          <w:szCs w:val="24"/>
        </w:rPr>
        <w:t xml:space="preserve"> Ухта»</w:t>
      </w:r>
      <w:r w:rsidR="007970F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852F8">
        <w:rPr>
          <w:rFonts w:ascii="Times New Roman" w:eastAsia="Calibri" w:hAnsi="Times New Roman" w:cs="Times New Roman"/>
          <w:sz w:val="24"/>
          <w:szCs w:val="24"/>
        </w:rPr>
        <w:t>Верховское</w:t>
      </w:r>
      <w:proofErr w:type="spellEnd"/>
      <w:r w:rsidRPr="004852F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r w:rsidR="007970F5">
        <w:rPr>
          <w:rFonts w:ascii="Times New Roman" w:eastAsia="Calibri" w:hAnsi="Times New Roman" w:cs="Times New Roman"/>
          <w:sz w:val="24"/>
          <w:szCs w:val="24"/>
        </w:rPr>
        <w:t xml:space="preserve">расположено на юго-западе </w:t>
      </w:r>
      <w:proofErr w:type="spellStart"/>
      <w:r w:rsidR="007970F5">
        <w:rPr>
          <w:rFonts w:ascii="Times New Roman" w:eastAsia="Calibri" w:hAnsi="Times New Roman" w:cs="Times New Roman"/>
          <w:sz w:val="24"/>
          <w:szCs w:val="24"/>
        </w:rPr>
        <w:t>Тарногского</w:t>
      </w:r>
      <w:proofErr w:type="spellEnd"/>
      <w:r w:rsidR="007970F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значительно отдаленного от </w:t>
      </w:r>
      <w:r w:rsidR="00420824">
        <w:rPr>
          <w:rFonts w:ascii="Times New Roman" w:eastAsia="Calibri" w:hAnsi="Times New Roman" w:cs="Times New Roman"/>
          <w:sz w:val="24"/>
          <w:szCs w:val="24"/>
        </w:rPr>
        <w:t>экономических центров</w:t>
      </w:r>
      <w:r w:rsidR="007970F5">
        <w:rPr>
          <w:rFonts w:ascii="Times New Roman" w:eastAsia="Calibri" w:hAnsi="Times New Roman" w:cs="Times New Roman"/>
          <w:sz w:val="24"/>
          <w:szCs w:val="24"/>
        </w:rPr>
        <w:t xml:space="preserve"> региона.</w:t>
      </w:r>
      <w:r w:rsidRPr="004852F8">
        <w:rPr>
          <w:rFonts w:ascii="Times New Roman" w:eastAsia="Calibri" w:hAnsi="Times New Roman" w:cs="Times New Roman"/>
          <w:sz w:val="24"/>
          <w:szCs w:val="24"/>
        </w:rPr>
        <w:t xml:space="preserve"> Основными видами экономической деятельности в </w:t>
      </w:r>
      <w:proofErr w:type="spellStart"/>
      <w:r w:rsidR="00D85231">
        <w:rPr>
          <w:rFonts w:ascii="Times New Roman" w:eastAsia="Calibri" w:hAnsi="Times New Roman" w:cs="Times New Roman"/>
          <w:sz w:val="24"/>
          <w:szCs w:val="24"/>
        </w:rPr>
        <w:t>Верховском</w:t>
      </w:r>
      <w:proofErr w:type="spellEnd"/>
      <w:r w:rsidR="00D852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52F8">
        <w:rPr>
          <w:rFonts w:ascii="Times New Roman" w:eastAsia="Calibri" w:hAnsi="Times New Roman" w:cs="Times New Roman"/>
          <w:sz w:val="24"/>
          <w:szCs w:val="24"/>
        </w:rPr>
        <w:t>поселении являются сельское и лесное хозяйство.</w:t>
      </w:r>
    </w:p>
    <w:p w:rsidR="004852F8" w:rsidRDefault="00FC6174" w:rsidP="00D8523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6174">
        <w:rPr>
          <w:rFonts w:ascii="Times New Roman" w:eastAsia="Calibri" w:hAnsi="Times New Roman" w:cs="Times New Roman"/>
          <w:sz w:val="24"/>
          <w:szCs w:val="24"/>
        </w:rPr>
        <w:t>Как св</w:t>
      </w:r>
      <w:r w:rsidR="004852F8">
        <w:rPr>
          <w:rFonts w:ascii="Times New Roman" w:eastAsia="Calibri" w:hAnsi="Times New Roman" w:cs="Times New Roman"/>
          <w:sz w:val="24"/>
          <w:szCs w:val="24"/>
        </w:rPr>
        <w:t>идетельствуют данные таблицы 3,</w:t>
      </w:r>
      <w:r w:rsidRPr="00FC6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70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FC6174">
        <w:rPr>
          <w:rFonts w:ascii="Times New Roman" w:eastAsia="Calibri" w:hAnsi="Times New Roman" w:cs="Times New Roman"/>
          <w:sz w:val="24"/>
          <w:szCs w:val="24"/>
        </w:rPr>
        <w:t>Р</w:t>
      </w:r>
      <w:r w:rsidR="00D85231">
        <w:rPr>
          <w:rFonts w:ascii="Times New Roman" w:eastAsia="Calibri" w:hAnsi="Times New Roman" w:cs="Times New Roman"/>
          <w:sz w:val="24"/>
          <w:szCs w:val="24"/>
        </w:rPr>
        <w:t>остиловско</w:t>
      </w:r>
      <w:r w:rsidR="00187700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="00D85231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187700">
        <w:rPr>
          <w:rFonts w:ascii="Times New Roman" w:eastAsia="Calibri" w:hAnsi="Times New Roman" w:cs="Times New Roman"/>
          <w:sz w:val="24"/>
          <w:szCs w:val="24"/>
        </w:rPr>
        <w:t>м</w:t>
      </w:r>
      <w:r w:rsidR="00D85231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187700">
        <w:rPr>
          <w:rFonts w:ascii="Times New Roman" w:eastAsia="Calibri" w:hAnsi="Times New Roman" w:cs="Times New Roman"/>
          <w:sz w:val="24"/>
          <w:szCs w:val="24"/>
        </w:rPr>
        <w:t>и</w:t>
      </w:r>
      <w:r w:rsidRPr="00FC6174">
        <w:rPr>
          <w:rFonts w:ascii="Times New Roman" w:eastAsia="Calibri" w:hAnsi="Times New Roman" w:cs="Times New Roman"/>
          <w:sz w:val="24"/>
          <w:szCs w:val="24"/>
        </w:rPr>
        <w:t>, которое имеет более выгодное территориальное расположение и характеризуется более высоким уровнем экономиче</w:t>
      </w:r>
      <w:r w:rsidR="007970F5">
        <w:rPr>
          <w:rFonts w:ascii="Times New Roman" w:eastAsia="Calibri" w:hAnsi="Times New Roman" w:cs="Times New Roman"/>
          <w:sz w:val="24"/>
          <w:szCs w:val="24"/>
        </w:rPr>
        <w:t>ского потенциала</w:t>
      </w:r>
      <w:r w:rsidRPr="00FC61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87700">
        <w:rPr>
          <w:rFonts w:ascii="Times New Roman" w:eastAsia="Calibri" w:hAnsi="Times New Roman" w:cs="Times New Roman"/>
          <w:sz w:val="24"/>
          <w:szCs w:val="24"/>
        </w:rPr>
        <w:t>наблюдается</w:t>
      </w:r>
      <w:r w:rsidRPr="00FC6174">
        <w:rPr>
          <w:rFonts w:ascii="Times New Roman" w:eastAsia="Calibri" w:hAnsi="Times New Roman" w:cs="Times New Roman"/>
          <w:sz w:val="24"/>
          <w:szCs w:val="24"/>
        </w:rPr>
        <w:t xml:space="preserve"> высокий уровень финансовой автономии (доля собственных доходов бюд</w:t>
      </w:r>
      <w:r w:rsidR="004852F8">
        <w:rPr>
          <w:rFonts w:ascii="Times New Roman" w:eastAsia="Calibri" w:hAnsi="Times New Roman" w:cs="Times New Roman"/>
          <w:sz w:val="24"/>
          <w:szCs w:val="24"/>
        </w:rPr>
        <w:t>жета в совокупных составляла 69-</w:t>
      </w:r>
      <w:r w:rsidRPr="00FC6174">
        <w:rPr>
          <w:rFonts w:ascii="Times New Roman" w:eastAsia="Calibri" w:hAnsi="Times New Roman" w:cs="Times New Roman"/>
          <w:sz w:val="24"/>
          <w:szCs w:val="24"/>
        </w:rPr>
        <w:t xml:space="preserve">98%), чем в </w:t>
      </w:r>
      <w:proofErr w:type="spellStart"/>
      <w:r w:rsidRPr="00FC6174">
        <w:rPr>
          <w:rFonts w:ascii="Times New Roman" w:eastAsia="Calibri" w:hAnsi="Times New Roman" w:cs="Times New Roman"/>
          <w:sz w:val="24"/>
          <w:szCs w:val="24"/>
        </w:rPr>
        <w:t>Верховском</w:t>
      </w:r>
      <w:proofErr w:type="spellEnd"/>
      <w:r w:rsidRPr="00FC6174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(доля 8-20%).</w:t>
      </w:r>
      <w:proofErr w:type="gramEnd"/>
      <w:r w:rsidRPr="00FC6174">
        <w:rPr>
          <w:rFonts w:ascii="Times New Roman" w:eastAsia="Calibri" w:hAnsi="Times New Roman" w:cs="Times New Roman"/>
          <w:sz w:val="24"/>
          <w:szCs w:val="24"/>
        </w:rPr>
        <w:t xml:space="preserve"> Бюджетная обеспеченность собственны</w:t>
      </w:r>
      <w:r w:rsidR="004852F8">
        <w:rPr>
          <w:rFonts w:ascii="Times New Roman" w:eastAsia="Calibri" w:hAnsi="Times New Roman" w:cs="Times New Roman"/>
          <w:sz w:val="24"/>
          <w:szCs w:val="24"/>
        </w:rPr>
        <w:t>ми доходами на душу населения в</w:t>
      </w:r>
      <w:r w:rsidRPr="00FC6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174">
        <w:rPr>
          <w:rFonts w:ascii="Times New Roman" w:eastAsia="Calibri" w:hAnsi="Times New Roman" w:cs="Times New Roman"/>
          <w:sz w:val="24"/>
          <w:szCs w:val="24"/>
        </w:rPr>
        <w:t>Ростиловском</w:t>
      </w:r>
      <w:proofErr w:type="spellEnd"/>
      <w:r w:rsidRPr="00FC6174">
        <w:rPr>
          <w:rFonts w:ascii="Times New Roman" w:eastAsia="Calibri" w:hAnsi="Times New Roman" w:cs="Times New Roman"/>
          <w:sz w:val="24"/>
          <w:szCs w:val="24"/>
        </w:rPr>
        <w:t xml:space="preserve"> поселении значительно превышает значение показателя в </w:t>
      </w:r>
      <w:proofErr w:type="spellStart"/>
      <w:r w:rsidRPr="00FC6174">
        <w:rPr>
          <w:rFonts w:ascii="Times New Roman" w:eastAsia="Calibri" w:hAnsi="Times New Roman" w:cs="Times New Roman"/>
          <w:sz w:val="24"/>
          <w:szCs w:val="24"/>
        </w:rPr>
        <w:t>Верховском</w:t>
      </w:r>
      <w:proofErr w:type="spellEnd"/>
      <w:r w:rsidRPr="00FC6174">
        <w:rPr>
          <w:rFonts w:ascii="Times New Roman" w:eastAsia="Calibri" w:hAnsi="Times New Roman" w:cs="Times New Roman"/>
          <w:sz w:val="24"/>
          <w:szCs w:val="24"/>
        </w:rPr>
        <w:t xml:space="preserve"> поселении. </w:t>
      </w:r>
      <w:proofErr w:type="gramStart"/>
      <w:r w:rsidR="00187700">
        <w:rPr>
          <w:rFonts w:ascii="Times New Roman" w:eastAsia="Calibri" w:hAnsi="Times New Roman" w:cs="Times New Roman"/>
          <w:sz w:val="24"/>
          <w:szCs w:val="24"/>
        </w:rPr>
        <w:t>Между тем,</w:t>
      </w:r>
      <w:r w:rsidR="004852F8">
        <w:rPr>
          <w:rFonts w:ascii="Times New Roman" w:eastAsia="Calibri" w:hAnsi="Times New Roman" w:cs="Times New Roman"/>
          <w:sz w:val="24"/>
          <w:szCs w:val="24"/>
        </w:rPr>
        <w:t xml:space="preserve"> динамика бюджетных параметров </w:t>
      </w:r>
      <w:r w:rsidR="00C82DA0">
        <w:rPr>
          <w:rFonts w:ascii="Times New Roman" w:eastAsia="Calibri" w:hAnsi="Times New Roman" w:cs="Times New Roman"/>
          <w:sz w:val="24"/>
          <w:szCs w:val="24"/>
        </w:rPr>
        <w:t xml:space="preserve">данных </w:t>
      </w:r>
      <w:r w:rsidR="004852F8">
        <w:rPr>
          <w:rFonts w:ascii="Times New Roman" w:eastAsia="Calibri" w:hAnsi="Times New Roman" w:cs="Times New Roman"/>
          <w:sz w:val="24"/>
          <w:szCs w:val="24"/>
        </w:rPr>
        <w:t xml:space="preserve">поселений за прошедшее десятилетие </w:t>
      </w:r>
      <w:r w:rsidR="00C82DA0">
        <w:rPr>
          <w:rFonts w:ascii="Times New Roman" w:eastAsia="Calibri" w:hAnsi="Times New Roman" w:cs="Times New Roman"/>
          <w:sz w:val="24"/>
          <w:szCs w:val="24"/>
        </w:rPr>
        <w:t xml:space="preserve">указывает на рост финансовой автономии и </w:t>
      </w:r>
      <w:proofErr w:type="spellStart"/>
      <w:r w:rsidR="00C82DA0">
        <w:rPr>
          <w:rFonts w:ascii="Times New Roman" w:eastAsia="Calibri" w:hAnsi="Times New Roman" w:cs="Times New Roman"/>
          <w:sz w:val="24"/>
          <w:szCs w:val="24"/>
        </w:rPr>
        <w:t>подушевой</w:t>
      </w:r>
      <w:proofErr w:type="spellEnd"/>
      <w:r w:rsidR="00C82DA0">
        <w:rPr>
          <w:rFonts w:ascii="Times New Roman" w:eastAsia="Calibri" w:hAnsi="Times New Roman" w:cs="Times New Roman"/>
          <w:sz w:val="24"/>
          <w:szCs w:val="24"/>
        </w:rPr>
        <w:t xml:space="preserve"> бюджетной обеспеченности в </w:t>
      </w:r>
      <w:proofErr w:type="spellStart"/>
      <w:r w:rsidR="00C82DA0">
        <w:rPr>
          <w:rFonts w:ascii="Times New Roman" w:eastAsia="Calibri" w:hAnsi="Times New Roman" w:cs="Times New Roman"/>
          <w:sz w:val="24"/>
          <w:szCs w:val="24"/>
        </w:rPr>
        <w:t>Верховском</w:t>
      </w:r>
      <w:proofErr w:type="spellEnd"/>
      <w:r w:rsidR="00C82DA0">
        <w:rPr>
          <w:rFonts w:ascii="Times New Roman" w:eastAsia="Calibri" w:hAnsi="Times New Roman" w:cs="Times New Roman"/>
          <w:sz w:val="24"/>
          <w:szCs w:val="24"/>
        </w:rPr>
        <w:t xml:space="preserve"> поселении и об</w:t>
      </w:r>
      <w:r w:rsidR="00187700">
        <w:rPr>
          <w:rFonts w:ascii="Times New Roman" w:eastAsia="Calibri" w:hAnsi="Times New Roman" w:cs="Times New Roman"/>
          <w:sz w:val="24"/>
          <w:szCs w:val="24"/>
        </w:rPr>
        <w:t xml:space="preserve">ратную тенденцию в </w:t>
      </w:r>
      <w:proofErr w:type="spellStart"/>
      <w:r w:rsidR="00187700">
        <w:rPr>
          <w:rFonts w:ascii="Times New Roman" w:eastAsia="Calibri" w:hAnsi="Times New Roman" w:cs="Times New Roman"/>
          <w:sz w:val="24"/>
          <w:szCs w:val="24"/>
        </w:rPr>
        <w:t>Ростиловском</w:t>
      </w:r>
      <w:proofErr w:type="spellEnd"/>
      <w:r w:rsidR="00507605">
        <w:rPr>
          <w:rFonts w:ascii="Times New Roman" w:eastAsia="Calibri" w:hAnsi="Times New Roman" w:cs="Times New Roman"/>
          <w:sz w:val="24"/>
          <w:szCs w:val="24"/>
        </w:rPr>
        <w:t xml:space="preserve"> поселении</w:t>
      </w:r>
      <w:r w:rsidR="001877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2DA0" w:rsidRPr="007C19B4">
        <w:rPr>
          <w:rFonts w:ascii="Times New Roman" w:eastAsia="Calibri" w:hAnsi="Times New Roman" w:cs="Times New Roman"/>
          <w:sz w:val="24"/>
          <w:szCs w:val="24"/>
        </w:rPr>
        <w:t xml:space="preserve">Это означает, что </w:t>
      </w:r>
      <w:r w:rsidR="00420824" w:rsidRPr="007C19B4">
        <w:rPr>
          <w:rFonts w:ascii="Times New Roman" w:eastAsia="Calibri" w:hAnsi="Times New Roman" w:cs="Times New Roman"/>
          <w:sz w:val="24"/>
          <w:szCs w:val="24"/>
        </w:rPr>
        <w:t xml:space="preserve">выравнивание уровня самофинансирования поселений происходит за счет </w:t>
      </w:r>
      <w:r w:rsidR="00D85231" w:rsidRPr="007C19B4">
        <w:rPr>
          <w:rFonts w:ascii="Times New Roman" w:eastAsia="Calibri" w:hAnsi="Times New Roman" w:cs="Times New Roman"/>
          <w:sz w:val="24"/>
          <w:szCs w:val="24"/>
        </w:rPr>
        <w:t xml:space="preserve">роста собственного потенциала бюджетов муниципалитетов с изначально более низким его уровнем, а не за счет возрастания уровня самофинансирования всех </w:t>
      </w:r>
      <w:r w:rsidR="00187700" w:rsidRPr="007C19B4">
        <w:rPr>
          <w:rFonts w:ascii="Times New Roman" w:eastAsia="Calibri" w:hAnsi="Times New Roman" w:cs="Times New Roman"/>
          <w:sz w:val="24"/>
          <w:szCs w:val="24"/>
        </w:rPr>
        <w:t>поселений</w:t>
      </w:r>
      <w:r w:rsidR="00D85231" w:rsidRPr="007C19B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51D04" w:rsidRDefault="003955BC" w:rsidP="00507605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Расхождения</w:t>
      </w:r>
      <w:r w:rsidR="006B0023">
        <w:rPr>
          <w:rFonts w:ascii="Times New Roman" w:eastAsia="Calibri" w:hAnsi="Times New Roman" w:cs="Times New Roman"/>
          <w:sz w:val="24"/>
          <w:szCs w:val="24"/>
        </w:rPr>
        <w:t xml:space="preserve"> в уровне</w:t>
      </w:r>
      <w:r w:rsidR="00187700">
        <w:rPr>
          <w:rFonts w:ascii="Times New Roman" w:eastAsia="Calibri" w:hAnsi="Times New Roman" w:cs="Times New Roman"/>
          <w:sz w:val="24"/>
          <w:szCs w:val="24"/>
        </w:rPr>
        <w:t xml:space="preserve"> и динамике</w:t>
      </w:r>
      <w:r w:rsidR="006B0023">
        <w:rPr>
          <w:rFonts w:ascii="Times New Roman" w:eastAsia="Calibri" w:hAnsi="Times New Roman" w:cs="Times New Roman"/>
          <w:sz w:val="24"/>
          <w:szCs w:val="24"/>
        </w:rPr>
        <w:t xml:space="preserve"> финансовой автономии</w:t>
      </w:r>
      <w:r w:rsidR="00A51D04" w:rsidRPr="00A51D04">
        <w:rPr>
          <w:rFonts w:ascii="Times New Roman" w:eastAsia="Calibri" w:hAnsi="Times New Roman" w:cs="Times New Roman"/>
          <w:sz w:val="24"/>
          <w:szCs w:val="24"/>
        </w:rPr>
        <w:t xml:space="preserve"> муниципалитетов разных типов указывает на </w:t>
      </w:r>
      <w:r w:rsidR="00187700">
        <w:rPr>
          <w:rFonts w:ascii="Times New Roman" w:eastAsia="Calibri" w:hAnsi="Times New Roman" w:cs="Times New Roman"/>
          <w:sz w:val="24"/>
          <w:szCs w:val="24"/>
        </w:rPr>
        <w:t>наличие значительной</w:t>
      </w:r>
      <w:r w:rsidR="00A51D04" w:rsidRPr="00A51D04">
        <w:rPr>
          <w:rFonts w:ascii="Times New Roman" w:eastAsia="Calibri" w:hAnsi="Times New Roman" w:cs="Times New Roman"/>
          <w:sz w:val="24"/>
          <w:szCs w:val="24"/>
        </w:rPr>
        <w:t xml:space="preserve"> асимметрии территориального со</w:t>
      </w:r>
      <w:r w:rsidR="007970F5">
        <w:rPr>
          <w:rFonts w:ascii="Times New Roman" w:eastAsia="Calibri" w:hAnsi="Times New Roman" w:cs="Times New Roman"/>
          <w:sz w:val="24"/>
          <w:szCs w:val="24"/>
        </w:rPr>
        <w:t>циально-экономического развития</w:t>
      </w:r>
      <w:r w:rsidR="00A51D04" w:rsidRPr="00A51D04">
        <w:rPr>
          <w:rFonts w:ascii="Times New Roman" w:eastAsia="Calibri" w:hAnsi="Times New Roman" w:cs="Times New Roman"/>
          <w:sz w:val="24"/>
          <w:szCs w:val="24"/>
        </w:rPr>
        <w:t>. Представители научной общественности подчеркивают, что проведенная реформа</w:t>
      </w:r>
      <w:r w:rsidR="006B0023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</w:t>
      </w:r>
      <w:r w:rsidR="00A51D04" w:rsidRPr="00A51D04">
        <w:rPr>
          <w:rFonts w:ascii="Times New Roman" w:eastAsia="Calibri" w:hAnsi="Times New Roman" w:cs="Times New Roman"/>
          <w:sz w:val="24"/>
          <w:szCs w:val="24"/>
        </w:rPr>
        <w:t xml:space="preserve">, унифицирующая территориальную организацию местного самоуправления вплоть до уровня локальных поселений и предполагающая единый порядок закрепления </w:t>
      </w:r>
      <w:r w:rsidR="007970F5">
        <w:rPr>
          <w:rFonts w:ascii="Times New Roman" w:eastAsia="Calibri" w:hAnsi="Times New Roman" w:cs="Times New Roman"/>
          <w:sz w:val="24"/>
          <w:szCs w:val="24"/>
        </w:rPr>
        <w:t>доходов и расходов</w:t>
      </w:r>
      <w:r w:rsidR="00A51D04" w:rsidRPr="00A51D04">
        <w:rPr>
          <w:rFonts w:ascii="Times New Roman" w:eastAsia="Calibri" w:hAnsi="Times New Roman" w:cs="Times New Roman"/>
          <w:sz w:val="24"/>
          <w:szCs w:val="24"/>
        </w:rPr>
        <w:t xml:space="preserve"> местных бюджетов, не в полной мере рассматривает специфику территорий и высокую степень ее дифференциации по уровню </w:t>
      </w:r>
      <w:r w:rsidR="00C00BD0">
        <w:rPr>
          <w:rFonts w:ascii="Times New Roman" w:eastAsia="Calibri" w:hAnsi="Times New Roman" w:cs="Times New Roman"/>
          <w:sz w:val="24"/>
          <w:szCs w:val="24"/>
        </w:rPr>
        <w:t xml:space="preserve">экономического потенциала </w:t>
      </w:r>
      <w:r w:rsidR="001F1BD1" w:rsidRPr="001F1BD1">
        <w:rPr>
          <w:rFonts w:ascii="Times New Roman" w:eastAsia="Calibri" w:hAnsi="Times New Roman" w:cs="Times New Roman"/>
          <w:sz w:val="24"/>
          <w:szCs w:val="24"/>
        </w:rPr>
        <w:t>[1</w:t>
      </w:r>
      <w:r w:rsidR="00890DB9" w:rsidRPr="001F1BD1">
        <w:rPr>
          <w:rFonts w:ascii="Times New Roman" w:eastAsia="Calibri" w:hAnsi="Times New Roman" w:cs="Times New Roman"/>
          <w:sz w:val="24"/>
          <w:szCs w:val="24"/>
        </w:rPr>
        <w:t>, с. 125</w:t>
      </w:r>
      <w:r w:rsidR="00A51D04" w:rsidRPr="001F1BD1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7970F5" w:rsidRDefault="007970F5" w:rsidP="00420824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Поэтому о</w:t>
      </w:r>
      <w:r w:rsidR="0083312A">
        <w:rPr>
          <w:rFonts w:ascii="Times New Roman" w:eastAsia="Calibri" w:hAnsi="Times New Roman" w:cs="Times New Roman"/>
          <w:sz w:val="24"/>
          <w:szCs w:val="24"/>
        </w:rPr>
        <w:t xml:space="preserve">дним из приоритетных направлений, обеспечивающих рост финансовой самостоятельности местного самоуправления, является </w:t>
      </w:r>
      <w:r w:rsidR="00507605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187700">
        <w:rPr>
          <w:rFonts w:ascii="Times New Roman" w:eastAsia="Calibri" w:hAnsi="Times New Roman" w:cs="Times New Roman"/>
          <w:sz w:val="24"/>
          <w:szCs w:val="24"/>
        </w:rPr>
        <w:t xml:space="preserve"> социально-экономического потенциала муниципалитетов</w:t>
      </w:r>
      <w:r w:rsidR="00507605">
        <w:rPr>
          <w:rFonts w:ascii="Times New Roman" w:eastAsia="Calibri" w:hAnsi="Times New Roman" w:cs="Times New Roman"/>
          <w:sz w:val="24"/>
          <w:szCs w:val="24"/>
        </w:rPr>
        <w:t xml:space="preserve"> за счет</w:t>
      </w:r>
      <w:r w:rsidR="00666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605">
        <w:rPr>
          <w:rFonts w:ascii="Times New Roman" w:eastAsia="Calibri" w:hAnsi="Times New Roman" w:cs="Times New Roman"/>
          <w:sz w:val="24"/>
          <w:szCs w:val="24"/>
        </w:rPr>
        <w:t>перестройки</w:t>
      </w:r>
      <w:r w:rsidR="00C97FCB" w:rsidRPr="00420824">
        <w:rPr>
          <w:rFonts w:ascii="Times New Roman" w:eastAsia="Calibri" w:hAnsi="Times New Roman" w:cs="Times New Roman"/>
          <w:sz w:val="24"/>
          <w:szCs w:val="24"/>
        </w:rPr>
        <w:t xml:space="preserve"> муниципальной экономики на интенсивную модель развития, </w:t>
      </w:r>
      <w:r w:rsidR="00507605">
        <w:rPr>
          <w:rFonts w:ascii="Times New Roman" w:eastAsia="Calibri" w:hAnsi="Times New Roman" w:cs="Times New Roman"/>
          <w:sz w:val="24"/>
          <w:szCs w:val="24"/>
        </w:rPr>
        <w:t>внедрения</w:t>
      </w:r>
      <w:r w:rsidR="00420824">
        <w:rPr>
          <w:rFonts w:ascii="Times New Roman" w:eastAsia="Calibri" w:hAnsi="Times New Roman" w:cs="Times New Roman"/>
          <w:sz w:val="24"/>
          <w:szCs w:val="24"/>
        </w:rPr>
        <w:t xml:space="preserve"> инноваций </w:t>
      </w:r>
      <w:r w:rsidR="00507605">
        <w:rPr>
          <w:rFonts w:ascii="Times New Roman" w:eastAsia="Calibri" w:hAnsi="Times New Roman" w:cs="Times New Roman"/>
          <w:sz w:val="24"/>
          <w:szCs w:val="24"/>
        </w:rPr>
        <w:t>и модернизации технологических процессов в производстве и сельском хозяйстве.</w:t>
      </w:r>
    </w:p>
    <w:p w:rsidR="00D85231" w:rsidRDefault="007970F5" w:rsidP="007970F5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Кроме того, п</w:t>
      </w:r>
      <w:r w:rsidRPr="007970F5">
        <w:rPr>
          <w:rFonts w:ascii="Times New Roman" w:eastAsia="Calibri" w:hAnsi="Times New Roman" w:cs="Times New Roman"/>
          <w:sz w:val="24"/>
          <w:szCs w:val="24"/>
        </w:rPr>
        <w:t xml:space="preserve">ерспективы </w:t>
      </w:r>
      <w:proofErr w:type="gramStart"/>
      <w:r w:rsidRPr="007970F5">
        <w:rPr>
          <w:rFonts w:ascii="Times New Roman" w:eastAsia="Calibri" w:hAnsi="Times New Roman" w:cs="Times New Roman"/>
          <w:sz w:val="24"/>
          <w:szCs w:val="24"/>
        </w:rPr>
        <w:t>повышения уровня самофинансирования муниципалитетов разных типов</w:t>
      </w:r>
      <w:proofErr w:type="gramEnd"/>
      <w:r w:rsidRPr="007970F5">
        <w:rPr>
          <w:rFonts w:ascii="Times New Roman" w:eastAsia="Calibri" w:hAnsi="Times New Roman" w:cs="Times New Roman"/>
          <w:sz w:val="24"/>
          <w:szCs w:val="24"/>
        </w:rPr>
        <w:t xml:space="preserve"> связаны, прежде всего, с выявлением </w:t>
      </w:r>
      <w:r w:rsidR="00187700">
        <w:rPr>
          <w:rFonts w:ascii="Times New Roman" w:eastAsia="Calibri" w:hAnsi="Times New Roman" w:cs="Times New Roman"/>
          <w:sz w:val="24"/>
          <w:szCs w:val="24"/>
        </w:rPr>
        <w:t>резервов</w:t>
      </w:r>
      <w:r w:rsidRPr="007970F5">
        <w:rPr>
          <w:rFonts w:ascii="Times New Roman" w:eastAsia="Calibri" w:hAnsi="Times New Roman" w:cs="Times New Roman"/>
          <w:sz w:val="24"/>
          <w:szCs w:val="24"/>
        </w:rPr>
        <w:t xml:space="preserve"> роста </w:t>
      </w:r>
      <w:r w:rsidR="00D85231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Pr="007970F5">
        <w:rPr>
          <w:rFonts w:ascii="Times New Roman" w:eastAsia="Calibri" w:hAnsi="Times New Roman" w:cs="Times New Roman"/>
          <w:sz w:val="24"/>
          <w:szCs w:val="24"/>
        </w:rPr>
        <w:t xml:space="preserve"> доходов местных бюджетов, оптимизации расходных полномочий муниципалитетов.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3945" w:rsidRPr="00D85231" w:rsidRDefault="00C97FCB" w:rsidP="00D8523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FCB">
        <w:rPr>
          <w:rFonts w:ascii="Times New Roman" w:hAnsi="Times New Roman" w:cs="Times New Roman"/>
          <w:sz w:val="24"/>
          <w:szCs w:val="24"/>
        </w:rPr>
        <w:t xml:space="preserve">Задача по выявлению резервов роста налоговых доходов муниципальных бюджетов </w:t>
      </w:r>
      <w:r w:rsidR="00187700">
        <w:rPr>
          <w:rFonts w:ascii="Times New Roman" w:hAnsi="Times New Roman" w:cs="Times New Roman"/>
          <w:sz w:val="24"/>
          <w:szCs w:val="24"/>
        </w:rPr>
        <w:t>реализуется</w:t>
      </w:r>
      <w:r w:rsidRPr="00C97FCB">
        <w:rPr>
          <w:rFonts w:ascii="Times New Roman" w:hAnsi="Times New Roman" w:cs="Times New Roman"/>
          <w:sz w:val="24"/>
          <w:szCs w:val="24"/>
        </w:rPr>
        <w:t xml:space="preserve"> как за счет местных налогов, так и с помощью поступлений, перераспределяемых с федерального и регионального уровня, основную часть которых составляет налог на дохо</w:t>
      </w:r>
      <w:r w:rsidR="00D85231">
        <w:rPr>
          <w:rFonts w:ascii="Times New Roman" w:hAnsi="Times New Roman" w:cs="Times New Roman"/>
          <w:sz w:val="24"/>
          <w:szCs w:val="24"/>
        </w:rPr>
        <w:t>ды физических лиц</w:t>
      </w:r>
      <w:r w:rsidRPr="00C97F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E8C">
        <w:rPr>
          <w:rFonts w:ascii="Times New Roman" w:hAnsi="Times New Roman" w:cs="Times New Roman"/>
          <w:sz w:val="24"/>
          <w:szCs w:val="24"/>
        </w:rPr>
        <w:t xml:space="preserve">Повышение собираемости местных налогов может быть достигнуто </w:t>
      </w:r>
      <w:r w:rsidR="003955BC">
        <w:rPr>
          <w:rFonts w:ascii="Times New Roman" w:hAnsi="Times New Roman" w:cs="Times New Roman"/>
          <w:sz w:val="24"/>
          <w:szCs w:val="24"/>
        </w:rPr>
        <w:t xml:space="preserve">с </w:t>
      </w:r>
      <w:r w:rsidR="001F73C9">
        <w:rPr>
          <w:rFonts w:ascii="Times New Roman" w:hAnsi="Times New Roman" w:cs="Times New Roman"/>
          <w:sz w:val="24"/>
          <w:szCs w:val="24"/>
        </w:rPr>
        <w:t>помощью</w:t>
      </w:r>
      <w:r w:rsidR="00587E8C">
        <w:rPr>
          <w:rFonts w:ascii="Times New Roman" w:hAnsi="Times New Roman" w:cs="Times New Roman"/>
          <w:sz w:val="24"/>
          <w:szCs w:val="24"/>
        </w:rPr>
        <w:t xml:space="preserve"> установления минимальных предельных ставок по земельному налогу, оптимизации регистрации прав собственности на имущество, отсрочек </w:t>
      </w:r>
      <w:r w:rsidR="00587E8C" w:rsidRPr="00587E8C">
        <w:rPr>
          <w:rFonts w:ascii="Times New Roman" w:hAnsi="Times New Roman" w:cs="Times New Roman"/>
          <w:sz w:val="24"/>
          <w:szCs w:val="24"/>
        </w:rPr>
        <w:t xml:space="preserve">по уплате имущественных налогов для вновь зарегистрированных объектов имущества. </w:t>
      </w:r>
      <w:r w:rsidR="00587E8C">
        <w:rPr>
          <w:rFonts w:ascii="Times New Roman" w:hAnsi="Times New Roman" w:cs="Times New Roman"/>
          <w:sz w:val="24"/>
          <w:szCs w:val="24"/>
        </w:rPr>
        <w:t xml:space="preserve">Так, </w:t>
      </w:r>
      <w:r w:rsidR="00587E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587E8C" w:rsidRPr="00587E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 данным Департамента финансов </w:t>
      </w:r>
      <w:r w:rsidR="006F05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Вологодской области </w:t>
      </w:r>
      <w:r w:rsidR="00587E8C" w:rsidRPr="00587E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2015 году не зарегистрированы права собственности на 45 тыс. земельных участков и 28,9 тыс. объектов имущества, </w:t>
      </w:r>
      <w:r w:rsidR="007970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587E8C" w:rsidRPr="00587E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налоговый потенциал от налогообложения объектов </w:t>
      </w:r>
      <w:r w:rsidR="00587E8C" w:rsidRPr="009E39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недвижимости составляет 61,8 млн. рублей. Выявление резервов роста </w:t>
      </w:r>
      <w:r w:rsidR="00311F3A" w:rsidRPr="009E39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поступлений </w:t>
      </w:r>
      <w:r w:rsidR="00587E8C" w:rsidRPr="009E39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НДФЛ </w:t>
      </w:r>
      <w:r w:rsidR="003955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возможно</w:t>
      </w:r>
      <w:r w:rsidR="00311F3A" w:rsidRPr="009E39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55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счет</w:t>
      </w:r>
      <w:r w:rsidR="00311F3A" w:rsidRPr="009E39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3945" w:rsidRPr="009E3945">
        <w:rPr>
          <w:rFonts w:ascii="Times New Roman" w:hAnsi="Times New Roman" w:cs="Times New Roman"/>
          <w:sz w:val="24"/>
          <w:szCs w:val="24"/>
        </w:rPr>
        <w:t>сотрудничества органов местного самоуправления с налоговыми и правоохранительными органами по вопросам выявления скрытых форм оплаты труда, схем «серых» зарплат, осуществления мониторинга среднемесячной начисленной заработной платы в разрезе организаций для определения потенциальной налоговой базы.</w:t>
      </w:r>
    </w:p>
    <w:p w:rsidR="00587E8C" w:rsidRDefault="001F73C9" w:rsidP="007970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</w:t>
      </w:r>
      <w:r w:rsidR="00587E8C" w:rsidRPr="00587E8C">
        <w:rPr>
          <w:rFonts w:ascii="Times New Roman" w:hAnsi="Times New Roman" w:cs="Times New Roman"/>
          <w:sz w:val="24"/>
          <w:szCs w:val="24"/>
        </w:rPr>
        <w:t xml:space="preserve"> неналоговых доходов муниципальных бюджетов может быть достигнуто с помощью внедрения новых источников воспроизводства муниципальной собственности (применение концессионных соглашений), реструктуризации муниципальной собственности через отчуждение неэффективных предприятий, проведение мониторинга состояния и </w:t>
      </w:r>
      <w:r w:rsidR="00587E8C" w:rsidRPr="00587E8C">
        <w:rPr>
          <w:rFonts w:ascii="Times New Roman" w:hAnsi="Times New Roman" w:cs="Times New Roman"/>
          <w:sz w:val="24"/>
          <w:szCs w:val="24"/>
        </w:rPr>
        <w:lastRenderedPageBreak/>
        <w:t>эффективности использования муниципального имущества.</w:t>
      </w:r>
    </w:p>
    <w:p w:rsidR="009E3945" w:rsidRDefault="009E3945" w:rsidP="007970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45">
        <w:rPr>
          <w:rFonts w:ascii="Times New Roman" w:hAnsi="Times New Roman" w:cs="Times New Roman"/>
          <w:sz w:val="24"/>
          <w:szCs w:val="24"/>
        </w:rPr>
        <w:t>Приоритетным направлением совершенствования системы управления бюджетными расходами является применение принципов бюджетирования, ориентированного на результат, в рамках которого необходимо внедрение системы учета потребности в предоставляемых муниципальных услугах, анализ отклонений утвержденных расходных нормативов от фактически</w:t>
      </w:r>
      <w:r w:rsidR="007970F5">
        <w:rPr>
          <w:rFonts w:ascii="Times New Roman" w:hAnsi="Times New Roman" w:cs="Times New Roman"/>
          <w:sz w:val="24"/>
          <w:szCs w:val="24"/>
        </w:rPr>
        <w:t>х затрат</w:t>
      </w:r>
      <w:r w:rsidRPr="009E3945">
        <w:rPr>
          <w:rFonts w:ascii="Times New Roman" w:hAnsi="Times New Roman" w:cs="Times New Roman"/>
          <w:sz w:val="24"/>
          <w:szCs w:val="24"/>
        </w:rPr>
        <w:t>, утверждение стандартов качества оказываемых бюджетных услуг и контроль за соответствие им.</w:t>
      </w:r>
    </w:p>
    <w:p w:rsidR="009E3945" w:rsidRPr="009E3945" w:rsidRDefault="009E3945" w:rsidP="007970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955BC">
        <w:rPr>
          <w:rFonts w:ascii="Times New Roman" w:hAnsi="Times New Roman" w:cs="Times New Roman"/>
          <w:sz w:val="24"/>
          <w:szCs w:val="24"/>
        </w:rPr>
        <w:t xml:space="preserve">степень </w:t>
      </w:r>
      <w:r>
        <w:rPr>
          <w:rFonts w:ascii="Times New Roman" w:hAnsi="Times New Roman" w:cs="Times New Roman"/>
          <w:sz w:val="24"/>
          <w:szCs w:val="24"/>
        </w:rPr>
        <w:t>самофинансирования местных бюджетов разных типов в Вологодской области в настоящее время находится</w:t>
      </w:r>
      <w:r w:rsidR="00C00BD0">
        <w:rPr>
          <w:rFonts w:ascii="Times New Roman" w:hAnsi="Times New Roman" w:cs="Times New Roman"/>
          <w:sz w:val="24"/>
          <w:szCs w:val="24"/>
        </w:rPr>
        <w:t xml:space="preserve"> на </w:t>
      </w:r>
      <w:r w:rsidR="001F73C9">
        <w:rPr>
          <w:rFonts w:ascii="Times New Roman" w:hAnsi="Times New Roman" w:cs="Times New Roman"/>
          <w:sz w:val="24"/>
          <w:szCs w:val="24"/>
        </w:rPr>
        <w:t>не</w:t>
      </w:r>
      <w:r w:rsidR="00C00BD0">
        <w:rPr>
          <w:rFonts w:ascii="Times New Roman" w:hAnsi="Times New Roman" w:cs="Times New Roman"/>
          <w:sz w:val="24"/>
          <w:szCs w:val="24"/>
        </w:rPr>
        <w:t>высоком уровне</w:t>
      </w:r>
      <w:r w:rsidRPr="009E3945">
        <w:rPr>
          <w:rFonts w:ascii="Times New Roman" w:hAnsi="Times New Roman" w:cs="Times New Roman"/>
          <w:sz w:val="24"/>
          <w:szCs w:val="24"/>
        </w:rPr>
        <w:t xml:space="preserve">. Повышение самофинансирования муниципалитетов может быть достигнуто путем </w:t>
      </w:r>
      <w:r w:rsidR="007970F5">
        <w:rPr>
          <w:rFonts w:ascii="Times New Roman" w:hAnsi="Times New Roman" w:cs="Times New Roman"/>
          <w:sz w:val="24"/>
          <w:szCs w:val="24"/>
        </w:rPr>
        <w:t xml:space="preserve">развития социально-экономического потенциала муниципалитетов, </w:t>
      </w:r>
      <w:r w:rsidRPr="009E3945">
        <w:rPr>
          <w:rFonts w:ascii="Times New Roman" w:hAnsi="Times New Roman" w:cs="Times New Roman"/>
          <w:sz w:val="24"/>
          <w:szCs w:val="24"/>
        </w:rPr>
        <w:t>выявления потенциальных возможностей роста налоговых и неналоговых доходов местных бюджетов, повышения эффективности осуществления расходов</w:t>
      </w:r>
      <w:r w:rsidR="007970F5">
        <w:rPr>
          <w:rFonts w:ascii="Times New Roman" w:hAnsi="Times New Roman" w:cs="Times New Roman"/>
          <w:sz w:val="24"/>
          <w:szCs w:val="24"/>
        </w:rPr>
        <w:t>.</w:t>
      </w:r>
      <w:r w:rsidRPr="009E3945">
        <w:rPr>
          <w:rFonts w:ascii="Times New Roman" w:hAnsi="Times New Roman" w:cs="Times New Roman"/>
          <w:sz w:val="24"/>
          <w:szCs w:val="24"/>
        </w:rPr>
        <w:t xml:space="preserve"> Между тем, возникновение бюджетного эффекта от осуществления предложенного выше комплекса мероприятий невозможно без </w:t>
      </w:r>
      <w:proofErr w:type="gramStart"/>
      <w:r w:rsidRPr="009E3945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9E3945">
        <w:rPr>
          <w:rFonts w:ascii="Times New Roman" w:hAnsi="Times New Roman" w:cs="Times New Roman"/>
          <w:sz w:val="24"/>
          <w:szCs w:val="24"/>
        </w:rPr>
        <w:t xml:space="preserve"> эффективно работающего механизма управления муниципальными финансами, взаимодействия всех его элементов, максимального вовлечения кадровых и информационных ресурсов местного самоуправления в процесс повышения финансовой автономии муниципалитетов.</w:t>
      </w:r>
    </w:p>
    <w:p w:rsidR="0086391E" w:rsidRDefault="0086391E" w:rsidP="007970F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2167" w:rsidRPr="000403A2" w:rsidRDefault="000403A2" w:rsidP="007970F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6F05D8" w:rsidRDefault="006F05D8" w:rsidP="007970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F574C">
        <w:rPr>
          <w:rFonts w:ascii="Times New Roman" w:hAnsi="Times New Roman" w:cs="Times New Roman"/>
          <w:sz w:val="24"/>
          <w:szCs w:val="24"/>
        </w:rPr>
        <w:t xml:space="preserve">Дементьева, О.А. Основные итоги первого этапа реализации реформы местного самоуправления </w:t>
      </w:r>
      <w:r w:rsidRPr="0006737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06737C">
        <w:rPr>
          <w:rFonts w:ascii="Times New Roman" w:hAnsi="Times New Roman" w:cs="Times New Roman"/>
          <w:sz w:val="24"/>
          <w:szCs w:val="24"/>
        </w:rPr>
        <w:t>]</w:t>
      </w:r>
      <w:r w:rsidRPr="00DC2167">
        <w:rPr>
          <w:rFonts w:ascii="Times New Roman" w:hAnsi="Times New Roman" w:cs="Times New Roman"/>
          <w:sz w:val="24"/>
          <w:szCs w:val="24"/>
        </w:rPr>
        <w:t xml:space="preserve"> </w:t>
      </w:r>
      <w:r w:rsidRPr="00FF574C">
        <w:rPr>
          <w:rFonts w:ascii="Times New Roman" w:hAnsi="Times New Roman" w:cs="Times New Roman"/>
          <w:sz w:val="24"/>
          <w:szCs w:val="24"/>
        </w:rPr>
        <w:t xml:space="preserve">/ О.А. Дементьева // Федерализм. </w:t>
      </w:r>
      <w:r w:rsidR="008D36E3">
        <w:rPr>
          <w:rFonts w:ascii="Times New Roman" w:hAnsi="Times New Roman" w:cs="Times New Roman"/>
          <w:sz w:val="24"/>
          <w:szCs w:val="24"/>
        </w:rPr>
        <w:t>– 2007. – № 3. – С.123</w:t>
      </w:r>
      <w:r w:rsidR="008D36E3" w:rsidRPr="008D36E3">
        <w:rPr>
          <w:rFonts w:ascii="Times New Roman" w:hAnsi="Times New Roman" w:cs="Times New Roman"/>
          <w:sz w:val="24"/>
          <w:szCs w:val="24"/>
        </w:rPr>
        <w:t>-134.</w:t>
      </w:r>
    </w:p>
    <w:p w:rsidR="006F05D8" w:rsidRDefault="006F05D8" w:rsidP="007970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C4D23">
        <w:rPr>
          <w:rFonts w:ascii="Times New Roman" w:hAnsi="Times New Roman" w:cs="Times New Roman"/>
          <w:sz w:val="24"/>
          <w:szCs w:val="24"/>
        </w:rPr>
        <w:t xml:space="preserve">Ильин, В.А. Методы преодоления пространственной социально-экономической дифференциации </w:t>
      </w:r>
      <w:r w:rsidRPr="0006737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06737C">
        <w:rPr>
          <w:rFonts w:ascii="Times New Roman" w:hAnsi="Times New Roman" w:cs="Times New Roman"/>
          <w:sz w:val="24"/>
          <w:szCs w:val="24"/>
        </w:rPr>
        <w:t>]</w:t>
      </w:r>
      <w:r w:rsidRPr="00DC2167">
        <w:rPr>
          <w:rFonts w:ascii="Times New Roman" w:hAnsi="Times New Roman" w:cs="Times New Roman"/>
          <w:sz w:val="24"/>
          <w:szCs w:val="24"/>
        </w:rPr>
        <w:t xml:space="preserve"> </w:t>
      </w:r>
      <w:r w:rsidRPr="007C4D23">
        <w:rPr>
          <w:rFonts w:ascii="Times New Roman" w:hAnsi="Times New Roman" w:cs="Times New Roman"/>
          <w:sz w:val="24"/>
          <w:szCs w:val="24"/>
        </w:rPr>
        <w:t>/ В.А. Ильин, Т.В. Ускова // Федерализм. – 2012. – № 3. – C. 7-18.</w:t>
      </w:r>
    </w:p>
    <w:p w:rsidR="006F05D8" w:rsidRPr="00DC2167" w:rsidRDefault="006F05D8" w:rsidP="007970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Малиновская, О.В. Б</w:t>
      </w:r>
      <w:r w:rsidRPr="0006737C">
        <w:rPr>
          <w:rFonts w:ascii="Times New Roman" w:hAnsi="Times New Roman" w:cs="Times New Roman"/>
          <w:sz w:val="24"/>
          <w:szCs w:val="24"/>
        </w:rPr>
        <w:t>юджетная децентрализация: сост</w:t>
      </w:r>
      <w:r>
        <w:rPr>
          <w:rFonts w:ascii="Times New Roman" w:hAnsi="Times New Roman" w:cs="Times New Roman"/>
          <w:sz w:val="24"/>
          <w:szCs w:val="24"/>
        </w:rPr>
        <w:t>ояние и особенности развития в Российской Ф</w:t>
      </w:r>
      <w:r w:rsidRPr="0006737C">
        <w:rPr>
          <w:rFonts w:ascii="Times New Roman" w:hAnsi="Times New Roman" w:cs="Times New Roman"/>
          <w:sz w:val="24"/>
          <w:szCs w:val="24"/>
        </w:rPr>
        <w:t>едерации на современном 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37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06737C">
        <w:rPr>
          <w:rFonts w:ascii="Times New Roman" w:hAnsi="Times New Roman" w:cs="Times New Roman"/>
          <w:sz w:val="24"/>
          <w:szCs w:val="24"/>
        </w:rPr>
        <w:t>]</w:t>
      </w:r>
      <w:r w:rsidRPr="00DC2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О.В. Малиновская, А.В. Бровкина // </w:t>
      </w:r>
      <w:r w:rsidRPr="0006737C">
        <w:rPr>
          <w:rFonts w:ascii="Times New Roman" w:hAnsi="Times New Roman" w:cs="Times New Roman"/>
          <w:sz w:val="24"/>
          <w:szCs w:val="24"/>
        </w:rPr>
        <w:t xml:space="preserve">Финансы и кредит. </w:t>
      </w:r>
      <w:r w:rsidRPr="009654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37C">
        <w:rPr>
          <w:rFonts w:ascii="Times New Roman" w:hAnsi="Times New Roman" w:cs="Times New Roman"/>
          <w:sz w:val="24"/>
          <w:szCs w:val="24"/>
        </w:rPr>
        <w:t xml:space="preserve">2012. </w:t>
      </w:r>
      <w:r w:rsidRPr="00965412">
        <w:rPr>
          <w:rFonts w:ascii="Times New Roman" w:hAnsi="Times New Roman" w:cs="Times New Roman"/>
          <w:sz w:val="24"/>
          <w:szCs w:val="24"/>
        </w:rPr>
        <w:t>–</w:t>
      </w:r>
      <w:r w:rsidRPr="0006737C">
        <w:rPr>
          <w:rFonts w:ascii="Times New Roman" w:hAnsi="Times New Roman" w:cs="Times New Roman"/>
          <w:sz w:val="24"/>
          <w:szCs w:val="24"/>
        </w:rPr>
        <w:t xml:space="preserve">№ 15 (495). </w:t>
      </w:r>
      <w:r w:rsidRPr="009654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37C">
        <w:rPr>
          <w:rFonts w:ascii="Times New Roman" w:hAnsi="Times New Roman" w:cs="Times New Roman"/>
          <w:sz w:val="24"/>
          <w:szCs w:val="24"/>
        </w:rPr>
        <w:t>С. 20-29.</w:t>
      </w:r>
    </w:p>
    <w:p w:rsidR="006F05D8" w:rsidRDefault="006F05D8" w:rsidP="007970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65412">
        <w:rPr>
          <w:rFonts w:ascii="Times New Roman" w:hAnsi="Times New Roman" w:cs="Times New Roman"/>
          <w:sz w:val="24"/>
          <w:szCs w:val="24"/>
        </w:rPr>
        <w:t xml:space="preserve">Печенская, М.А. Состояние бюджетов муниципальных образований разных типов и направления  повышения их доходного потенциала </w:t>
      </w:r>
      <w:r w:rsidRPr="0006737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06737C">
        <w:rPr>
          <w:rFonts w:ascii="Times New Roman" w:hAnsi="Times New Roman" w:cs="Times New Roman"/>
          <w:sz w:val="24"/>
          <w:szCs w:val="24"/>
        </w:rPr>
        <w:t>]</w:t>
      </w:r>
      <w:r w:rsidRPr="00DC2167">
        <w:rPr>
          <w:rFonts w:ascii="Times New Roman" w:hAnsi="Times New Roman" w:cs="Times New Roman"/>
          <w:sz w:val="24"/>
          <w:szCs w:val="24"/>
        </w:rPr>
        <w:t xml:space="preserve"> </w:t>
      </w:r>
      <w:r w:rsidRPr="00965412">
        <w:rPr>
          <w:rFonts w:ascii="Times New Roman" w:hAnsi="Times New Roman" w:cs="Times New Roman"/>
          <w:sz w:val="24"/>
          <w:szCs w:val="24"/>
        </w:rPr>
        <w:t>/ М.А. Печенская /</w:t>
      </w:r>
      <w:r>
        <w:rPr>
          <w:rFonts w:ascii="Times New Roman" w:hAnsi="Times New Roman" w:cs="Times New Roman"/>
          <w:sz w:val="24"/>
          <w:szCs w:val="24"/>
        </w:rPr>
        <w:t>/ Проблемы развития территорий.</w:t>
      </w:r>
      <w:r w:rsidRPr="00965412">
        <w:rPr>
          <w:rFonts w:ascii="Times New Roman" w:hAnsi="Times New Roman" w:cs="Times New Roman"/>
          <w:sz w:val="24"/>
          <w:szCs w:val="24"/>
        </w:rPr>
        <w:t xml:space="preserve"> – 2012. – № 4. – С. 83-95.</w:t>
      </w:r>
    </w:p>
    <w:p w:rsidR="006F05D8" w:rsidRDefault="006F05D8" w:rsidP="007970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Поварова, А.</w:t>
      </w:r>
      <w:proofErr w:type="gramStart"/>
      <w:r>
        <w:rPr>
          <w:rFonts w:ascii="Times New Roman" w:hAnsi="Times New Roman" w:cs="Times New Roman"/>
          <w:sz w:val="24"/>
          <w:szCs w:val="24"/>
        </w:rPr>
        <w:t>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F47">
        <w:rPr>
          <w:rFonts w:ascii="Times New Roman" w:hAnsi="Times New Roman" w:cs="Times New Roman"/>
          <w:sz w:val="24"/>
          <w:szCs w:val="24"/>
        </w:rPr>
        <w:t xml:space="preserve">Почему не растёт самообеспеченность </w:t>
      </w:r>
      <w:r>
        <w:rPr>
          <w:rFonts w:ascii="Times New Roman" w:hAnsi="Times New Roman" w:cs="Times New Roman"/>
          <w:sz w:val="24"/>
          <w:szCs w:val="24"/>
        </w:rPr>
        <w:t xml:space="preserve">бюджетов городских округов </w:t>
      </w:r>
      <w:r w:rsidRPr="0006737C">
        <w:rPr>
          <w:rFonts w:ascii="Times New Roman" w:hAnsi="Times New Roman" w:cs="Times New Roman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>/ А.</w:t>
      </w:r>
      <w:r w:rsidRPr="00673F47">
        <w:rPr>
          <w:rFonts w:ascii="Times New Roman" w:hAnsi="Times New Roman" w:cs="Times New Roman"/>
          <w:sz w:val="24"/>
          <w:szCs w:val="24"/>
        </w:rPr>
        <w:t xml:space="preserve">И. Поварова // Экономические и социальные перемены: факты, тенденции, прогноз. </w:t>
      </w:r>
      <w:r w:rsidRPr="00965412">
        <w:rPr>
          <w:rFonts w:ascii="Times New Roman" w:hAnsi="Times New Roman" w:cs="Times New Roman"/>
          <w:sz w:val="24"/>
          <w:szCs w:val="24"/>
        </w:rPr>
        <w:t>–</w:t>
      </w:r>
      <w:r w:rsidRPr="00673F47">
        <w:rPr>
          <w:rFonts w:ascii="Times New Roman" w:hAnsi="Times New Roman" w:cs="Times New Roman"/>
          <w:sz w:val="24"/>
          <w:szCs w:val="24"/>
        </w:rPr>
        <w:t xml:space="preserve"> 2016. </w:t>
      </w:r>
      <w:r w:rsidRPr="00965412">
        <w:rPr>
          <w:rFonts w:ascii="Times New Roman" w:hAnsi="Times New Roman" w:cs="Times New Roman"/>
          <w:sz w:val="24"/>
          <w:szCs w:val="24"/>
        </w:rPr>
        <w:t>–</w:t>
      </w:r>
      <w:r w:rsidRPr="00673F47">
        <w:rPr>
          <w:rFonts w:ascii="Times New Roman" w:hAnsi="Times New Roman" w:cs="Times New Roman"/>
          <w:sz w:val="24"/>
          <w:szCs w:val="24"/>
        </w:rPr>
        <w:t xml:space="preserve"> № 1. </w:t>
      </w:r>
      <w:r w:rsidRPr="00965412">
        <w:rPr>
          <w:rFonts w:ascii="Times New Roman" w:hAnsi="Times New Roman" w:cs="Times New Roman"/>
          <w:sz w:val="24"/>
          <w:szCs w:val="24"/>
        </w:rPr>
        <w:t>–</w:t>
      </w:r>
      <w:r w:rsidRPr="00673F47">
        <w:rPr>
          <w:rFonts w:ascii="Times New Roman" w:hAnsi="Times New Roman" w:cs="Times New Roman"/>
          <w:sz w:val="24"/>
          <w:szCs w:val="24"/>
        </w:rPr>
        <w:t xml:space="preserve"> </w:t>
      </w:r>
      <w:r w:rsidRPr="00953CC1">
        <w:rPr>
          <w:rFonts w:ascii="Times New Roman" w:hAnsi="Times New Roman" w:cs="Times New Roman"/>
          <w:sz w:val="24"/>
          <w:szCs w:val="24"/>
        </w:rPr>
        <w:t>C. 108-121.</w:t>
      </w:r>
    </w:p>
    <w:p w:rsidR="006F05D8" w:rsidRDefault="006F05D8" w:rsidP="007970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C2167">
        <w:rPr>
          <w:rFonts w:ascii="Times New Roman" w:hAnsi="Times New Roman" w:cs="Times New Roman"/>
          <w:sz w:val="24"/>
          <w:szCs w:val="24"/>
        </w:rPr>
        <w:t xml:space="preserve">Тележников, В.И. Финансовая самодостаточность </w:t>
      </w:r>
      <w:r w:rsidRPr="007B6296">
        <w:rPr>
          <w:rFonts w:ascii="Times New Roman" w:hAnsi="Times New Roman" w:cs="Times New Roman"/>
          <w:sz w:val="24"/>
          <w:szCs w:val="24"/>
        </w:rPr>
        <w:t>–</w:t>
      </w:r>
      <w:r w:rsidRPr="00DC2167">
        <w:rPr>
          <w:rFonts w:ascii="Times New Roman" w:hAnsi="Times New Roman" w:cs="Times New Roman"/>
          <w:sz w:val="24"/>
          <w:szCs w:val="24"/>
        </w:rPr>
        <w:t xml:space="preserve"> экономический базис развития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37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06737C">
        <w:rPr>
          <w:rFonts w:ascii="Times New Roman" w:hAnsi="Times New Roman" w:cs="Times New Roman"/>
          <w:sz w:val="24"/>
          <w:szCs w:val="24"/>
        </w:rPr>
        <w:t>]</w:t>
      </w:r>
      <w:r w:rsidRPr="00DC2167">
        <w:rPr>
          <w:rFonts w:ascii="Times New Roman" w:hAnsi="Times New Roman" w:cs="Times New Roman"/>
          <w:sz w:val="24"/>
          <w:szCs w:val="24"/>
        </w:rPr>
        <w:t xml:space="preserve"> / В.И. Тележников, Г.Д. Бирилло // Вестник Полоцког</w:t>
      </w:r>
      <w:r w:rsidR="00302229">
        <w:rPr>
          <w:rFonts w:ascii="Times New Roman" w:hAnsi="Times New Roman" w:cs="Times New Roman"/>
          <w:sz w:val="24"/>
          <w:szCs w:val="24"/>
        </w:rPr>
        <w:t>о государственного университета</w:t>
      </w:r>
      <w:r w:rsidRPr="00DC2167">
        <w:rPr>
          <w:rFonts w:ascii="Times New Roman" w:hAnsi="Times New Roman" w:cs="Times New Roman"/>
          <w:sz w:val="24"/>
          <w:szCs w:val="24"/>
        </w:rPr>
        <w:t>. – 2011. – № 6. – С. 67-71.</w:t>
      </w:r>
    </w:p>
    <w:p w:rsidR="001F1BD1" w:rsidRPr="001F1BD1" w:rsidRDefault="001F1BD1" w:rsidP="007970F5">
      <w:pPr>
        <w:widowControl w:val="0"/>
        <w:spacing w:after="0" w:line="36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F1BD1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Информация об авторе</w:t>
      </w:r>
    </w:p>
    <w:p w:rsidR="001F1BD1" w:rsidRDefault="001F1BD1" w:rsidP="007970F5">
      <w:pPr>
        <w:widowControl w:val="0"/>
        <w:shd w:val="clear" w:color="auto" w:fill="FFFFFF"/>
        <w:spacing w:after="0" w:line="36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1F1BD1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Микляева Ксения Алексеевна (Россия, г. Вологда) </w:t>
      </w:r>
      <w:r w:rsidRPr="001F1BD1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1F1B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аспирант, инженер-исследователь, ФГБУН ИСЭРТ РАН (</w:t>
      </w:r>
      <w:smartTag w:uri="urn:schemas-microsoft-com:office:smarttags" w:element="metricconverter">
        <w:smartTagPr>
          <w:attr w:name="ProductID" w:val="160014, г"/>
        </w:smartTagPr>
        <w:r w:rsidRPr="001F1BD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160014, г</w:t>
        </w:r>
      </w:smartTag>
      <w:r w:rsidRPr="001F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Вологда, ул. Горького, д. 56а, </w:t>
      </w:r>
      <w:r w:rsidRPr="001F1B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1F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F1B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1F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D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3A2" w:rsidRPr="008D36E3">
        <w:rPr>
          <w:rFonts w:ascii="Times New Roman" w:eastAsia="Times New Roman" w:hAnsi="Times New Roman" w:cs="Times New Roman"/>
          <w:sz w:val="24"/>
          <w:szCs w:val="24"/>
          <w:lang w:eastAsia="ru-RU"/>
        </w:rPr>
        <w:t>common@vscc.ac.ru</w:t>
      </w:r>
      <w:r w:rsidRPr="001F1B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1F1BD1" w:rsidRDefault="001F1BD1" w:rsidP="007970F5">
      <w:pPr>
        <w:widowControl w:val="0"/>
        <w:shd w:val="clear" w:color="auto" w:fill="FFFFFF"/>
        <w:spacing w:after="0" w:line="36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1BD1" w:rsidRPr="007C19B4" w:rsidRDefault="001F1BD1" w:rsidP="007970F5">
      <w:pPr>
        <w:widowControl w:val="0"/>
        <w:shd w:val="clear" w:color="auto" w:fill="FFFFFF"/>
        <w:spacing w:after="0" w:line="360" w:lineRule="auto"/>
        <w:jc w:val="right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F1BD1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Miklyaeva</w:t>
      </w:r>
      <w:r w:rsidRPr="007C19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1BD1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K</w:t>
      </w:r>
      <w:r w:rsidRPr="007C19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1F1BD1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A</w:t>
      </w:r>
      <w:r w:rsidRPr="007C19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1F1BD1" w:rsidRDefault="001F1BD1" w:rsidP="007970F5">
      <w:pPr>
        <w:widowControl w:val="0"/>
        <w:shd w:val="clear" w:color="auto" w:fill="FFFFFF"/>
        <w:spacing w:after="0" w:line="36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r w:rsidRPr="001F1BD1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ACTUAL ASPECTS OF PROVIDING </w:t>
      </w:r>
      <w:r w:rsidR="000403A2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OF </w:t>
      </w:r>
      <w:r w:rsidRPr="001F1BD1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SELF-FINANCING OF DIFFERENT TYPES OF MUNICIPAL</w:t>
      </w:r>
      <w:r w:rsidR="000403A2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ITIES</w:t>
      </w:r>
    </w:p>
    <w:bookmarkEnd w:id="0"/>
    <w:p w:rsidR="000403A2" w:rsidRPr="001F1BD1" w:rsidRDefault="000403A2" w:rsidP="007970F5">
      <w:pPr>
        <w:widowControl w:val="0"/>
        <w:shd w:val="clear" w:color="auto" w:fill="FFFFFF"/>
        <w:spacing w:after="0" w:line="36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</w:p>
    <w:p w:rsidR="001F1BD1" w:rsidRPr="007C19B4" w:rsidRDefault="000403A2" w:rsidP="007970F5">
      <w:pPr>
        <w:widowControl w:val="0"/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i/>
          <w:sz w:val="24"/>
          <w:szCs w:val="24"/>
          <w:lang w:val="en-US" w:eastAsia="ru-RU"/>
        </w:rPr>
      </w:pPr>
      <w:r w:rsidRPr="000403A2">
        <w:rPr>
          <w:rFonts w:ascii="Times New Roman" w:eastAsia="Calibri" w:hAnsi="Times New Roman" w:cs="Times New Roman"/>
          <w:bCs/>
          <w:i/>
          <w:sz w:val="24"/>
          <w:szCs w:val="24"/>
          <w:lang w:val="en-US" w:eastAsia="ru-RU"/>
        </w:rPr>
        <w:t>The article analyzes the trends in the</w:t>
      </w:r>
      <w:r w:rsidR="00AC519B">
        <w:rPr>
          <w:rFonts w:ascii="Times New Roman" w:eastAsia="Calibri" w:hAnsi="Times New Roman" w:cs="Times New Roman"/>
          <w:bCs/>
          <w:i/>
          <w:sz w:val="24"/>
          <w:szCs w:val="24"/>
          <w:lang w:val="en-US" w:eastAsia="ru-RU"/>
        </w:rPr>
        <w:t xml:space="preserve"> financial self-sufficiency of</w:t>
      </w:r>
      <w:r w:rsidRPr="000403A2">
        <w:rPr>
          <w:rFonts w:ascii="Times New Roman" w:eastAsia="Calibri" w:hAnsi="Times New Roman" w:cs="Times New Roman"/>
          <w:bCs/>
          <w:i/>
          <w:sz w:val="24"/>
          <w:szCs w:val="24"/>
          <w:lang w:val="en-US" w:eastAsia="ru-RU"/>
        </w:rPr>
        <w:t xml:space="preserve"> budgets of different types of municipalities on the materials of the Vologda region. Proposed activities that will help increase the level of self-financing of municipalities.</w:t>
      </w:r>
    </w:p>
    <w:p w:rsidR="000403A2" w:rsidRDefault="000403A2" w:rsidP="007970F5">
      <w:pPr>
        <w:widowControl w:val="0"/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i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val="en-US" w:eastAsia="ru-RU"/>
        </w:rPr>
        <w:t>Key words</w:t>
      </w:r>
      <w:r w:rsidRPr="000403A2">
        <w:rPr>
          <w:rFonts w:ascii="Times New Roman" w:eastAsia="Calibri" w:hAnsi="Times New Roman" w:cs="Times New Roman"/>
          <w:bCs/>
          <w:i/>
          <w:sz w:val="24"/>
          <w:szCs w:val="24"/>
          <w:lang w:val="en-US" w:eastAsia="ru-RU"/>
        </w:rPr>
        <w:t>: mun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en-US" w:eastAsia="ru-RU"/>
        </w:rPr>
        <w:t>icipality, local government,</w:t>
      </w:r>
      <w:r w:rsidRPr="000403A2">
        <w:rPr>
          <w:rFonts w:ascii="Times New Roman" w:eastAsia="Calibri" w:hAnsi="Times New Roman" w:cs="Times New Roman"/>
          <w:bCs/>
          <w:i/>
          <w:sz w:val="24"/>
          <w:szCs w:val="24"/>
          <w:lang w:val="en-US" w:eastAsia="ru-RU"/>
        </w:rPr>
        <w:t xml:space="preserve"> local budget,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en-US" w:eastAsia="ru-RU"/>
        </w:rPr>
        <w:t xml:space="preserve">dependence </w:t>
      </w:r>
      <w:r w:rsidRPr="000403A2">
        <w:rPr>
          <w:rFonts w:ascii="Times New Roman" w:eastAsia="Calibri" w:hAnsi="Times New Roman" w:cs="Times New Roman"/>
          <w:bCs/>
          <w:i/>
          <w:sz w:val="24"/>
          <w:szCs w:val="24"/>
          <w:lang w:val="en-US" w:eastAsia="ru-RU"/>
        </w:rPr>
        <w:t>o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en-US" w:eastAsia="ru-RU"/>
        </w:rPr>
        <w:t>f</w:t>
      </w:r>
      <w:r w:rsidRPr="000403A2">
        <w:rPr>
          <w:rFonts w:ascii="Times New Roman" w:eastAsia="Calibri" w:hAnsi="Times New Roman" w:cs="Times New Roman"/>
          <w:bCs/>
          <w:i/>
          <w:sz w:val="24"/>
          <w:szCs w:val="24"/>
          <w:lang w:val="en-US" w:eastAsia="ru-RU"/>
        </w:rPr>
        <w:t xml:space="preserve"> subsidies, gratuitous receipts, self-financing.</w:t>
      </w:r>
    </w:p>
    <w:p w:rsidR="00A42B68" w:rsidRDefault="00A42B68" w:rsidP="007970F5">
      <w:pPr>
        <w:widowControl w:val="0"/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i/>
          <w:sz w:val="24"/>
          <w:szCs w:val="24"/>
          <w:lang w:val="en-US" w:eastAsia="ru-RU"/>
        </w:rPr>
      </w:pPr>
    </w:p>
    <w:p w:rsidR="00A42B68" w:rsidRPr="00A42B68" w:rsidRDefault="00A42B68" w:rsidP="007970F5">
      <w:pPr>
        <w:widowControl w:val="0"/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  <w:r w:rsidRP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Miklyaeva </w:t>
      </w:r>
      <w:proofErr w:type="spellStart"/>
      <w:r w:rsidRP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Kseniya</w:t>
      </w:r>
      <w:proofErr w:type="spellEnd"/>
      <w:r w:rsidRP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Alekseevna</w:t>
      </w:r>
      <w:proofErr w:type="spellEnd"/>
      <w:r w:rsidRP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– graduate student, research engineer, ISEDT RAS (160014, Vologda, </w:t>
      </w:r>
      <w:proofErr w:type="spellStart"/>
      <w:r w:rsidRP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ul</w:t>
      </w:r>
      <w:proofErr w:type="spellEnd"/>
      <w:r w:rsidRP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. Gorky, d. 56a, e-mail: common@vscc.ac.ru).</w:t>
      </w:r>
    </w:p>
    <w:p w:rsidR="000403A2" w:rsidRDefault="000403A2" w:rsidP="007970F5">
      <w:pPr>
        <w:widowControl w:val="0"/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i/>
          <w:sz w:val="24"/>
          <w:szCs w:val="24"/>
          <w:lang w:val="en-US" w:eastAsia="ru-RU"/>
        </w:rPr>
      </w:pPr>
    </w:p>
    <w:p w:rsidR="000403A2" w:rsidRDefault="008D36E3" w:rsidP="007970F5">
      <w:pPr>
        <w:widowControl w:val="0"/>
        <w:shd w:val="clear" w:color="auto" w:fill="FFFFFF"/>
        <w:spacing w:after="0" w:line="36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8D36E3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Bibliographic list</w:t>
      </w:r>
    </w:p>
    <w:p w:rsidR="008D36E3" w:rsidRDefault="008D36E3" w:rsidP="007970F5">
      <w:pPr>
        <w:widowControl w:val="0"/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1. </w:t>
      </w:r>
      <w:proofErr w:type="spellStart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Dementieva</w:t>
      </w:r>
      <w:proofErr w:type="spellEnd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O</w:t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.A.</w:t>
      </w:r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The</w:t>
      </w:r>
      <w:proofErr w:type="spellEnd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main results of the first stage of the implementation of local self-government reform [Text] / О.А. </w:t>
      </w:r>
      <w:proofErr w:type="spellStart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Dementieva</w:t>
      </w:r>
      <w:proofErr w:type="spellEnd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// Federalism. – 2007. </w:t>
      </w:r>
      <w:proofErr w:type="gramStart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– No. 3.</w:t>
      </w:r>
      <w:proofErr w:type="gramEnd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–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pp</w:t>
      </w:r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.123-134</w:t>
      </w:r>
      <w:proofErr w:type="gramEnd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.</w:t>
      </w:r>
    </w:p>
    <w:p w:rsidR="008D36E3" w:rsidRPr="008D36E3" w:rsidRDefault="008D36E3" w:rsidP="007970F5">
      <w:pPr>
        <w:widowControl w:val="0"/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2. </w:t>
      </w:r>
      <w:proofErr w:type="spellStart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Ilyin</w:t>
      </w:r>
      <w:proofErr w:type="spellEnd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, V.A. Methods to overcome the spatial socio-economic differentiation [Text] / V.A. </w:t>
      </w:r>
      <w:proofErr w:type="spellStart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Ilyin</w:t>
      </w:r>
      <w:proofErr w:type="spellEnd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, Т.V. </w:t>
      </w:r>
      <w:proofErr w:type="spellStart"/>
      <w:proofErr w:type="gramStart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Uskova</w:t>
      </w:r>
      <w:proofErr w:type="spellEnd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 /</w:t>
      </w:r>
      <w:proofErr w:type="gramEnd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/ Federalism. – 2012. </w:t>
      </w:r>
      <w:proofErr w:type="gramStart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– No. 3.</w:t>
      </w:r>
      <w:proofErr w:type="gramEnd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–</w:t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pp</w:t>
      </w:r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. 7-18.</w:t>
      </w:r>
    </w:p>
    <w:p w:rsidR="008D36E3" w:rsidRDefault="008D36E3" w:rsidP="007970F5">
      <w:pPr>
        <w:widowControl w:val="0"/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3. </w:t>
      </w:r>
      <w:proofErr w:type="spellStart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Malinovskaya</w:t>
      </w:r>
      <w:proofErr w:type="spellEnd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, O.V. Budgetary decentralization: the state and development features in the Russian Federation at the present stage [Text] / O.V. </w:t>
      </w:r>
      <w:proofErr w:type="spellStart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Malinov</w:t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skaya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, A.V.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Brovkina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// Finance</w:t>
      </w:r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and Credit. – 2012.</w:t>
      </w:r>
      <w:r w:rsidRPr="008D36E3">
        <w:rPr>
          <w:lang w:val="en-US"/>
        </w:rPr>
        <w:t xml:space="preserve"> </w:t>
      </w:r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–</w:t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42B68" w:rsidRP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No</w:t>
      </w:r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15 (495). –</w:t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pp</w:t>
      </w:r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. 20-29.</w:t>
      </w:r>
    </w:p>
    <w:p w:rsidR="008D36E3" w:rsidRPr="008D36E3" w:rsidRDefault="008D36E3" w:rsidP="007970F5">
      <w:pPr>
        <w:widowControl w:val="0"/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4. </w:t>
      </w:r>
      <w:proofErr w:type="spellStart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Pechenskaya</w:t>
      </w:r>
      <w:proofErr w:type="spellEnd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, M.A. The state of budgets of municipal</w:t>
      </w:r>
      <w:r w:rsid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ities </w:t>
      </w:r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of different types and directions of increasing their income potential [Text] / М.А. </w:t>
      </w:r>
      <w:proofErr w:type="spellStart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Pechenskaya</w:t>
      </w:r>
      <w:proofErr w:type="spellEnd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// </w:t>
      </w:r>
      <w:r w:rsid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P</w:t>
      </w:r>
      <w:r w:rsidR="00A42B68" w:rsidRP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roblems of territory's development</w:t>
      </w:r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. </w:t>
      </w:r>
      <w:r w:rsidR="00A42B68" w:rsidRP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–</w:t>
      </w:r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2012. </w:t>
      </w:r>
      <w:r w:rsidR="00A42B68" w:rsidRP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–</w:t>
      </w:r>
      <w:r w:rsid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No</w:t>
      </w:r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4. </w:t>
      </w:r>
      <w:r w:rsidR="00A42B68" w:rsidRP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–</w:t>
      </w:r>
      <w:r w:rsid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pp</w:t>
      </w:r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. 83-95.</w:t>
      </w:r>
    </w:p>
    <w:p w:rsidR="008D36E3" w:rsidRPr="008D36E3" w:rsidRDefault="008D36E3" w:rsidP="007970F5">
      <w:pPr>
        <w:widowControl w:val="0"/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5. </w:t>
      </w:r>
      <w:proofErr w:type="spellStart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Povarova</w:t>
      </w:r>
      <w:proofErr w:type="spellEnd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, A.I. Why the self-sufficienc</w:t>
      </w:r>
      <w:r w:rsid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y of the budgets of urban districts</w:t>
      </w:r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does not increase [Text] / А.И. </w:t>
      </w:r>
      <w:proofErr w:type="spellStart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Povarova</w:t>
      </w:r>
      <w:proofErr w:type="spellEnd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// Economic and social changes: facts, trends, forecast. </w:t>
      </w:r>
      <w:r w:rsidR="00A42B68" w:rsidRP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–</w:t>
      </w:r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2016. </w:t>
      </w:r>
      <w:proofErr w:type="gramStart"/>
      <w:r w:rsidR="00A42B68" w:rsidRP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–</w:t>
      </w:r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No. 1.</w:t>
      </w:r>
      <w:proofErr w:type="gramEnd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42B68" w:rsidRP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–</w:t>
      </w:r>
      <w:r w:rsid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pp</w:t>
      </w:r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. 108-121.</w:t>
      </w:r>
    </w:p>
    <w:p w:rsidR="000816FD" w:rsidRPr="00302229" w:rsidRDefault="008D36E3" w:rsidP="00187700">
      <w:pPr>
        <w:widowControl w:val="0"/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6. </w:t>
      </w:r>
      <w:proofErr w:type="spellStart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Telezhnikov</w:t>
      </w:r>
      <w:proofErr w:type="spellEnd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, V.I. Financial self-sufficiency is an economic basis for the development of local self-government [Text] / V.I. </w:t>
      </w:r>
      <w:proofErr w:type="spellStart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Telezhnikov</w:t>
      </w:r>
      <w:proofErr w:type="spellEnd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, G.D. </w:t>
      </w:r>
      <w:proofErr w:type="spellStart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Birillo</w:t>
      </w:r>
      <w:proofErr w:type="spellEnd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// Bulletin of the </w:t>
      </w:r>
      <w:proofErr w:type="spellStart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Polotsk</w:t>
      </w:r>
      <w:proofErr w:type="spellEnd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State. </w:t>
      </w:r>
      <w:r w:rsidR="00A42B68" w:rsidRP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–</w:t>
      </w:r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2011. </w:t>
      </w:r>
      <w:proofErr w:type="gramStart"/>
      <w:r w:rsidR="00A42B68" w:rsidRP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–</w:t>
      </w:r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No. 6.</w:t>
      </w:r>
      <w:proofErr w:type="gramEnd"/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42B68" w:rsidRP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–</w:t>
      </w:r>
      <w:r w:rsidRPr="008D36E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42B6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pp</w:t>
      </w:r>
      <w:r w:rsidR="0018770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. 67-71.</w:t>
      </w:r>
    </w:p>
    <w:sectPr w:rsidR="000816FD" w:rsidRPr="00302229" w:rsidSect="008F77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60" w:rsidRDefault="00D80B60" w:rsidP="007970F5">
      <w:pPr>
        <w:spacing w:after="0" w:line="240" w:lineRule="auto"/>
      </w:pPr>
      <w:r>
        <w:separator/>
      </w:r>
    </w:p>
  </w:endnote>
  <w:endnote w:type="continuationSeparator" w:id="0">
    <w:p w:rsidR="00D80B60" w:rsidRDefault="00D80B60" w:rsidP="0079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60" w:rsidRDefault="00D80B60" w:rsidP="007970F5">
      <w:pPr>
        <w:spacing w:after="0" w:line="240" w:lineRule="auto"/>
      </w:pPr>
      <w:r>
        <w:separator/>
      </w:r>
    </w:p>
  </w:footnote>
  <w:footnote w:type="continuationSeparator" w:id="0">
    <w:p w:rsidR="00D80B60" w:rsidRDefault="00D80B60" w:rsidP="007970F5">
      <w:pPr>
        <w:spacing w:after="0" w:line="240" w:lineRule="auto"/>
      </w:pPr>
      <w:r>
        <w:continuationSeparator/>
      </w:r>
    </w:p>
  </w:footnote>
  <w:footnote w:id="1">
    <w:p w:rsidR="00D80B60" w:rsidRPr="00ED727A" w:rsidRDefault="00D80B60">
      <w:pPr>
        <w:pStyle w:val="ab"/>
        <w:rPr>
          <w:rFonts w:ascii="Times New Roman" w:hAnsi="Times New Roman" w:cs="Times New Roman"/>
          <w:spacing w:val="-4"/>
        </w:rPr>
      </w:pPr>
      <w:r>
        <w:rPr>
          <w:rStyle w:val="ad"/>
        </w:rPr>
        <w:footnoteRef/>
      </w:r>
      <w:r>
        <w:t xml:space="preserve"> </w:t>
      </w:r>
      <w:r w:rsidRPr="00ED727A">
        <w:rPr>
          <w:rFonts w:ascii="Times New Roman" w:hAnsi="Times New Roman" w:cs="Times New Roman"/>
          <w:spacing w:val="-4"/>
        </w:rPr>
        <w:t xml:space="preserve">Об общих принципах организации местного </w:t>
      </w:r>
      <w:r w:rsidR="00302229" w:rsidRPr="00ED727A">
        <w:rPr>
          <w:rFonts w:ascii="Times New Roman" w:hAnsi="Times New Roman" w:cs="Times New Roman"/>
          <w:spacing w:val="-4"/>
        </w:rPr>
        <w:t>самоуправления</w:t>
      </w:r>
      <w:r w:rsidRPr="00ED727A">
        <w:rPr>
          <w:rFonts w:ascii="Times New Roman" w:hAnsi="Times New Roman" w:cs="Times New Roman"/>
          <w:spacing w:val="-4"/>
        </w:rPr>
        <w:t xml:space="preserve"> в Российской Федерации [Электронный ресурс]: от 06.10.2003 N 131-ФЗ (ред. от 03.04.2017) // </w:t>
      </w:r>
      <w:proofErr w:type="spellStart"/>
      <w:r w:rsidRPr="00ED727A">
        <w:rPr>
          <w:rFonts w:ascii="Times New Roman" w:hAnsi="Times New Roman" w:cs="Times New Roman"/>
          <w:spacing w:val="-4"/>
        </w:rPr>
        <w:t>Ко</w:t>
      </w:r>
      <w:r>
        <w:rPr>
          <w:rFonts w:ascii="Times New Roman" w:hAnsi="Times New Roman" w:cs="Times New Roman"/>
          <w:spacing w:val="-4"/>
        </w:rPr>
        <w:t>нсультантПлюс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</w:p>
    <w:p w:rsidR="00D80B60" w:rsidRPr="00ED727A" w:rsidRDefault="00D80B60">
      <w:pPr>
        <w:pStyle w:val="ab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7D9"/>
    <w:rsid w:val="0001222B"/>
    <w:rsid w:val="00012A87"/>
    <w:rsid w:val="000403A2"/>
    <w:rsid w:val="00055790"/>
    <w:rsid w:val="0006737C"/>
    <w:rsid w:val="000816FD"/>
    <w:rsid w:val="00082868"/>
    <w:rsid w:val="000C393A"/>
    <w:rsid w:val="000E46A3"/>
    <w:rsid w:val="000E7F39"/>
    <w:rsid w:val="00187700"/>
    <w:rsid w:val="001904B4"/>
    <w:rsid w:val="001A022E"/>
    <w:rsid w:val="001F1BD1"/>
    <w:rsid w:val="001F73C9"/>
    <w:rsid w:val="00217078"/>
    <w:rsid w:val="00217B49"/>
    <w:rsid w:val="0027157E"/>
    <w:rsid w:val="002B608F"/>
    <w:rsid w:val="002D27A9"/>
    <w:rsid w:val="002D7FFC"/>
    <w:rsid w:val="00302229"/>
    <w:rsid w:val="00305533"/>
    <w:rsid w:val="00311F3A"/>
    <w:rsid w:val="003631D9"/>
    <w:rsid w:val="00374DD1"/>
    <w:rsid w:val="00381418"/>
    <w:rsid w:val="0038194D"/>
    <w:rsid w:val="00393A77"/>
    <w:rsid w:val="003955BC"/>
    <w:rsid w:val="003D5B4B"/>
    <w:rsid w:val="003D7D53"/>
    <w:rsid w:val="00416C9D"/>
    <w:rsid w:val="00420824"/>
    <w:rsid w:val="00462A87"/>
    <w:rsid w:val="004663A9"/>
    <w:rsid w:val="004677A3"/>
    <w:rsid w:val="00475F29"/>
    <w:rsid w:val="004852F8"/>
    <w:rsid w:val="00497C4D"/>
    <w:rsid w:val="004A74C9"/>
    <w:rsid w:val="004C2279"/>
    <w:rsid w:val="004E67D9"/>
    <w:rsid w:val="00507605"/>
    <w:rsid w:val="0058298E"/>
    <w:rsid w:val="00587E8C"/>
    <w:rsid w:val="005A3DFD"/>
    <w:rsid w:val="0060786D"/>
    <w:rsid w:val="00615A4D"/>
    <w:rsid w:val="00666A7D"/>
    <w:rsid w:val="00673F47"/>
    <w:rsid w:val="00681FD8"/>
    <w:rsid w:val="006A6B6C"/>
    <w:rsid w:val="006B0023"/>
    <w:rsid w:val="006B63E4"/>
    <w:rsid w:val="006F05D8"/>
    <w:rsid w:val="006F4565"/>
    <w:rsid w:val="0074186C"/>
    <w:rsid w:val="007970E1"/>
    <w:rsid w:val="007970F5"/>
    <w:rsid w:val="007B6296"/>
    <w:rsid w:val="007C19B4"/>
    <w:rsid w:val="007C4D23"/>
    <w:rsid w:val="0083312A"/>
    <w:rsid w:val="0086391E"/>
    <w:rsid w:val="00890DB9"/>
    <w:rsid w:val="008B6057"/>
    <w:rsid w:val="008C4B55"/>
    <w:rsid w:val="008D36E3"/>
    <w:rsid w:val="008F7769"/>
    <w:rsid w:val="00946E65"/>
    <w:rsid w:val="00953CC1"/>
    <w:rsid w:val="00955B4B"/>
    <w:rsid w:val="00965412"/>
    <w:rsid w:val="00975A14"/>
    <w:rsid w:val="00991B20"/>
    <w:rsid w:val="009B67C0"/>
    <w:rsid w:val="009C267E"/>
    <w:rsid w:val="009E3945"/>
    <w:rsid w:val="009F2FC1"/>
    <w:rsid w:val="00A42B68"/>
    <w:rsid w:val="00A51D04"/>
    <w:rsid w:val="00A63DAE"/>
    <w:rsid w:val="00A82E84"/>
    <w:rsid w:val="00AC519B"/>
    <w:rsid w:val="00AD6BA5"/>
    <w:rsid w:val="00B06C5E"/>
    <w:rsid w:val="00B1757E"/>
    <w:rsid w:val="00BD15ED"/>
    <w:rsid w:val="00C00BD0"/>
    <w:rsid w:val="00C45FD8"/>
    <w:rsid w:val="00C52879"/>
    <w:rsid w:val="00C82DA0"/>
    <w:rsid w:val="00C96EC9"/>
    <w:rsid w:val="00C97FCB"/>
    <w:rsid w:val="00D47306"/>
    <w:rsid w:val="00D80B60"/>
    <w:rsid w:val="00D85231"/>
    <w:rsid w:val="00D87151"/>
    <w:rsid w:val="00DC2167"/>
    <w:rsid w:val="00E23D83"/>
    <w:rsid w:val="00E55E4B"/>
    <w:rsid w:val="00ED727A"/>
    <w:rsid w:val="00EF063A"/>
    <w:rsid w:val="00F03E7A"/>
    <w:rsid w:val="00F425E0"/>
    <w:rsid w:val="00F43B61"/>
    <w:rsid w:val="00F5566C"/>
    <w:rsid w:val="00F85BBC"/>
    <w:rsid w:val="00F96A4C"/>
    <w:rsid w:val="00FA35B6"/>
    <w:rsid w:val="00FC6174"/>
    <w:rsid w:val="00FD012B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1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6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F063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97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70F5"/>
  </w:style>
  <w:style w:type="paragraph" w:styleId="a9">
    <w:name w:val="footer"/>
    <w:basedOn w:val="a"/>
    <w:link w:val="aa"/>
    <w:uiPriority w:val="99"/>
    <w:unhideWhenUsed/>
    <w:rsid w:val="00797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70F5"/>
  </w:style>
  <w:style w:type="paragraph" w:styleId="ab">
    <w:name w:val="footnote text"/>
    <w:basedOn w:val="a"/>
    <w:link w:val="ac"/>
    <w:uiPriority w:val="99"/>
    <w:semiHidden/>
    <w:unhideWhenUsed/>
    <w:rsid w:val="0058298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8298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829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1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6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96969696969697E-2"/>
          <c:y val="0.11456324968724704"/>
          <c:w val="0.7309243617275113"/>
          <c:h val="0.65051694625128376"/>
        </c:manualLayout>
      </c:layout>
      <c:pie3DChart>
        <c:varyColors val="1"/>
        <c:ser>
          <c:idx val="0"/>
          <c:order val="0"/>
          <c:dLbls>
            <c:dLbl>
              <c:idx val="1"/>
              <c:layout>
                <c:manualLayout>
                  <c:x val="-0.15601240753996659"/>
                  <c:y val="-0.2277513408650005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Лист1!$A$5:$A$7</c:f>
              <c:strCache>
                <c:ptCount val="3"/>
                <c:pt idx="0">
                  <c:v>Налоговые доходы</c:v>
                </c:pt>
                <c:pt idx="1">
                  <c:v>Неналоговые доходы и доходы от приносящей доход деятельности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Лист1!$B$5:$B$7</c:f>
              <c:numCache>
                <c:formatCode>General</c:formatCode>
                <c:ptCount val="3"/>
                <c:pt idx="0">
                  <c:v>0.36699999999999999</c:v>
                </c:pt>
                <c:pt idx="1">
                  <c:v>0.108</c:v>
                </c:pt>
                <c:pt idx="2">
                  <c:v>0.52500000000000002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975749037760054E-2"/>
          <c:y val="0.23633535562153091"/>
          <c:w val="0.45304797363588339"/>
          <c:h val="0.5594449464308765"/>
        </c:manualLayout>
      </c:layout>
      <c:pie3DChart>
        <c:varyColors val="1"/>
        <c:ser>
          <c:idx val="0"/>
          <c:order val="0"/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0.12279992956152047"/>
                  <c:y val="7.0789983219310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7585972679931995E-3"/>
                  <c:y val="0.108558773903262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6840255591054312"/>
                  <c:y val="-0.164868981541241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'доходы все'!$A$5:$A$7</c:f>
              <c:strCache>
                <c:ptCount val="3"/>
                <c:pt idx="0">
                  <c:v>Налоговые доходы</c:v>
                </c:pt>
                <c:pt idx="1">
                  <c:v>Неналоговые доходы и доходы от приносящей доход деятельности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'доходы все'!$B$5:$B$7</c:f>
              <c:numCache>
                <c:formatCode>General</c:formatCode>
                <c:ptCount val="3"/>
                <c:pt idx="0">
                  <c:v>0.28599999999999998</c:v>
                </c:pt>
                <c:pt idx="1">
                  <c:v>0.08</c:v>
                </c:pt>
                <c:pt idx="2">
                  <c:v>0.63400000000000001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58111125222250448"/>
          <c:y val="8.9285714285714288E-2"/>
          <c:w val="0.39584201168402339"/>
          <c:h val="0.9107142857142857"/>
        </c:manualLayout>
      </c:layout>
      <c:overlay val="0"/>
      <c:txPr>
        <a:bodyPr/>
        <a:lstStyle/>
        <a:p>
          <a:pPr>
            <a:lnSpc>
              <a:spcPct val="50000"/>
            </a:lnSpc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5EE75-B3F2-4754-872A-2698AA22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8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Микляева</dc:creator>
  <cp:keywords/>
  <dc:description/>
  <cp:lastModifiedBy>Ксения А. Микляева</cp:lastModifiedBy>
  <cp:revision>40</cp:revision>
  <cp:lastPrinted>2017-04-27T10:20:00Z</cp:lastPrinted>
  <dcterms:created xsi:type="dcterms:W3CDTF">2017-04-24T07:24:00Z</dcterms:created>
  <dcterms:modified xsi:type="dcterms:W3CDTF">2017-05-02T06:03:00Z</dcterms:modified>
</cp:coreProperties>
</file>