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B4" w:rsidRPr="005658B4" w:rsidRDefault="005658B4" w:rsidP="005658B4">
      <w:pPr>
        <w:jc w:val="left"/>
        <w:rPr>
          <w:b/>
          <w:sz w:val="24"/>
          <w:szCs w:val="24"/>
        </w:rPr>
      </w:pPr>
      <w:bookmarkStart w:id="0" w:name="_GoBack"/>
      <w:bookmarkEnd w:id="0"/>
      <w:r w:rsidRPr="005658B4">
        <w:rPr>
          <w:b/>
          <w:sz w:val="24"/>
          <w:szCs w:val="24"/>
        </w:rPr>
        <w:t>338.45 / 65.305.02</w:t>
      </w:r>
    </w:p>
    <w:p w:rsidR="005658B4" w:rsidRPr="005658B4" w:rsidRDefault="005658B4" w:rsidP="005658B4">
      <w:pPr>
        <w:jc w:val="right"/>
        <w:rPr>
          <w:b/>
          <w:sz w:val="24"/>
          <w:szCs w:val="24"/>
        </w:rPr>
      </w:pPr>
      <w:r w:rsidRPr="005658B4">
        <w:rPr>
          <w:b/>
          <w:sz w:val="24"/>
          <w:szCs w:val="24"/>
        </w:rPr>
        <w:t>Мельников А.Е.</w:t>
      </w:r>
    </w:p>
    <w:p w:rsidR="006B1B44" w:rsidRPr="005658B4" w:rsidRDefault="005658B4" w:rsidP="005658B4">
      <w:pPr>
        <w:jc w:val="center"/>
        <w:rPr>
          <w:b/>
          <w:caps/>
          <w:sz w:val="24"/>
          <w:szCs w:val="24"/>
        </w:rPr>
      </w:pPr>
      <w:r w:rsidRPr="005658B4">
        <w:rPr>
          <w:b/>
          <w:caps/>
          <w:sz w:val="24"/>
          <w:szCs w:val="24"/>
        </w:rPr>
        <w:t>Содействие структурной модернизации промышленного сектора экономики старопромышленных регионов СЗФО</w:t>
      </w:r>
    </w:p>
    <w:p w:rsidR="005658B4" w:rsidRDefault="005658B4" w:rsidP="005658B4">
      <w:pPr>
        <w:ind w:firstLine="709"/>
        <w:rPr>
          <w:sz w:val="24"/>
          <w:szCs w:val="24"/>
        </w:rPr>
      </w:pPr>
    </w:p>
    <w:p w:rsidR="005658B4" w:rsidRDefault="000047E5" w:rsidP="005658B4">
      <w:pPr>
        <w:ind w:firstLine="709"/>
        <w:rPr>
          <w:sz w:val="24"/>
          <w:szCs w:val="24"/>
        </w:rPr>
      </w:pPr>
      <w:r w:rsidRPr="000047E5">
        <w:rPr>
          <w:sz w:val="24"/>
          <w:szCs w:val="24"/>
        </w:rPr>
        <w:t>Исчерпание потенциала роста сырьевых отраслей, действие ряда дестабилизирующих мировую конъюнктуру факторов и негативные тенденции экономического развития регионов России ставят перед органами власти задачу совершенствования управления экономикой. Промышленность как ключевой вид экономической деятельности для старопромышленных регионов и основа их социально-экономического развития в таких условиях выступает главным объектом управления, в отношении которого необходима модернизация действующих форм и методов регулирования.</w:t>
      </w:r>
    </w:p>
    <w:p w:rsidR="000047E5" w:rsidRDefault="00E15026" w:rsidP="005658B4">
      <w:pPr>
        <w:ind w:firstLine="709"/>
        <w:rPr>
          <w:sz w:val="24"/>
          <w:szCs w:val="24"/>
        </w:rPr>
      </w:pPr>
      <w:r w:rsidRPr="00E15026">
        <w:rPr>
          <w:sz w:val="24"/>
          <w:szCs w:val="24"/>
        </w:rPr>
        <w:t>В настоящее время переход регионов России на путь устойчивого развития зависит от раскрытия их потенциала, изменения структуры промышленного комплекса, создания условий для ухода от сырьевой модели экономики к модели, базис которой составляют производства с высокой добавленной стоимостью. Понимание важности реализации этой задачи есть и на государственном уровне, однако существующие в настоящее время формы, методы и инструменты управления промышленностью не обеспечивают ее пропорционального развития. В результате в промышленном комплексе превалируют сырьевые отрасли, удельный вес высокотехнологичных видов деятельности достаточно низкий и практически не увеличивается на протяжении последних 10 лет</w:t>
      </w:r>
      <w:r>
        <w:rPr>
          <w:sz w:val="24"/>
          <w:szCs w:val="24"/>
        </w:rPr>
        <w:t xml:space="preserve"> (табл. 1).</w:t>
      </w:r>
    </w:p>
    <w:p w:rsidR="00113244" w:rsidRDefault="00113244" w:rsidP="00113244">
      <w:pPr>
        <w:spacing w:line="240" w:lineRule="auto"/>
        <w:jc w:val="center"/>
        <w:rPr>
          <w:sz w:val="24"/>
          <w:szCs w:val="24"/>
        </w:rPr>
      </w:pPr>
      <w:r>
        <w:rPr>
          <w:sz w:val="24"/>
          <w:szCs w:val="24"/>
        </w:rPr>
        <w:t>Таблица 1 – Структура промышленности старопромышленных регионов СЗФО, %</w:t>
      </w:r>
    </w:p>
    <w:tbl>
      <w:tblPr>
        <w:tblStyle w:val="a7"/>
        <w:tblW w:w="5000" w:type="pct"/>
        <w:tblLook w:val="04A0" w:firstRow="1" w:lastRow="0" w:firstColumn="1" w:lastColumn="0" w:noHBand="0" w:noVBand="1"/>
      </w:tblPr>
      <w:tblGrid>
        <w:gridCol w:w="1622"/>
        <w:gridCol w:w="670"/>
        <w:gridCol w:w="706"/>
        <w:gridCol w:w="706"/>
        <w:gridCol w:w="706"/>
        <w:gridCol w:w="604"/>
        <w:gridCol w:w="706"/>
        <w:gridCol w:w="706"/>
        <w:gridCol w:w="706"/>
        <w:gridCol w:w="706"/>
        <w:gridCol w:w="706"/>
        <w:gridCol w:w="604"/>
        <w:gridCol w:w="706"/>
      </w:tblGrid>
      <w:tr w:rsidR="003169A0" w:rsidRPr="003169A0" w:rsidTr="00113244">
        <w:trPr>
          <w:cantSplit/>
          <w:trHeight w:val="1858"/>
        </w:trPr>
        <w:tc>
          <w:tcPr>
            <w:tcW w:w="1622"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Регион</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Год</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Добыча полезных ископаемых</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Обрабатывающие производства</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Пищевая промышленность</w:t>
            </w:r>
          </w:p>
        </w:tc>
        <w:tc>
          <w:tcPr>
            <w:tcW w:w="604"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Легкая промышленность</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Деревообработка</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Химическая промышленность</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Промышленность стройматериалов</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Металлургия</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Машиностроение</w:t>
            </w:r>
          </w:p>
        </w:tc>
        <w:tc>
          <w:tcPr>
            <w:tcW w:w="604"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Прочие виды обрабатывающих производств</w:t>
            </w:r>
          </w:p>
        </w:tc>
        <w:tc>
          <w:tcPr>
            <w:tcW w:w="706" w:type="dxa"/>
            <w:textDirection w:val="btLr"/>
            <w:vAlign w:val="center"/>
          </w:tcPr>
          <w:p w:rsidR="003169A0" w:rsidRPr="003169A0" w:rsidRDefault="003169A0" w:rsidP="00113244">
            <w:pPr>
              <w:ind w:left="113" w:right="113"/>
              <w:jc w:val="left"/>
              <w:rPr>
                <w:rFonts w:ascii="Arial" w:hAnsi="Arial" w:cs="Arial"/>
                <w:sz w:val="18"/>
                <w:szCs w:val="18"/>
              </w:rPr>
            </w:pPr>
            <w:r w:rsidRPr="003169A0">
              <w:rPr>
                <w:rFonts w:ascii="Arial" w:hAnsi="Arial" w:cs="Arial"/>
                <w:sz w:val="18"/>
                <w:szCs w:val="18"/>
              </w:rPr>
              <w:t>Производство электроэнергии, газа и воды</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Республика Карелия</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33,4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51,6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15,0</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34,0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4,4</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27,8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15,9</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32,0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6,9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33,0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17,4</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Республика Коми</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47,7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42,6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17,4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19,1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9,7</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55,1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33,4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1,8</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11,4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17,6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11,4</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57,8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33,8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1,8</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13,2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13,8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8,4</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Архангельская область</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35,5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52,7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26,3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11,9</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55,1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34,8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3,4</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18,2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10,3</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10,2</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51,8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2,8</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8,0</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Вологодская область</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92,5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66,7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4,0</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7,5</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7,4</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13,6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57,9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4,8</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8,4</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92,2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7,2</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22,0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51,9</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2,5</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7,7</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Мурманская область</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28,2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47,5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6,2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28,5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6,0</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24,3</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32,1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45,6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12,7</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22,3</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35,2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46,1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19,6</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18,1</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5,5</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18,7</w:t>
            </w:r>
          </w:p>
        </w:tc>
      </w:tr>
      <w:tr w:rsidR="003169A0" w:rsidRPr="003169A0" w:rsidTr="003169A0">
        <w:tc>
          <w:tcPr>
            <w:tcW w:w="1622" w:type="dxa"/>
            <w:vMerge w:val="restart"/>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 xml:space="preserve">Новгородская </w:t>
            </w:r>
            <w:r w:rsidRPr="003169A0">
              <w:rPr>
                <w:rFonts w:ascii="Arial" w:hAnsi="Arial" w:cs="Arial"/>
                <w:sz w:val="18"/>
                <w:szCs w:val="18"/>
              </w:rPr>
              <w:lastRenderedPageBreak/>
              <w:t>область</w:t>
            </w: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lastRenderedPageBreak/>
              <w:t>2005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87,2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17,4</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14,5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21,7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10,7</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12,5</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89,2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27,4</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15,2</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21,4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7,0</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5,8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8,7</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3,5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10,3</w:t>
            </w:r>
          </w:p>
        </w:tc>
      </w:tr>
      <w:tr w:rsidR="003169A0" w:rsidRPr="003169A0" w:rsidTr="003169A0">
        <w:tc>
          <w:tcPr>
            <w:tcW w:w="1622" w:type="dxa"/>
            <w:vMerge/>
            <w:vAlign w:val="center"/>
          </w:tcPr>
          <w:p w:rsidR="003169A0" w:rsidRPr="003169A0" w:rsidRDefault="003169A0" w:rsidP="003169A0">
            <w:pPr>
              <w:jc w:val="center"/>
              <w:rPr>
                <w:rFonts w:ascii="Arial" w:hAnsi="Arial" w:cs="Arial"/>
                <w:sz w:val="18"/>
                <w:szCs w:val="18"/>
              </w:rPr>
            </w:pPr>
          </w:p>
        </w:tc>
        <w:tc>
          <w:tcPr>
            <w:tcW w:w="670"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2015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1,6</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90,7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22,9</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0,7</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14,8</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27,4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6,5</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4,4</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11,7</w:t>
            </w:r>
          </w:p>
        </w:tc>
        <w:tc>
          <w:tcPr>
            <w:tcW w:w="604"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2,3</w:t>
            </w:r>
          </w:p>
        </w:tc>
        <w:tc>
          <w:tcPr>
            <w:tcW w:w="706" w:type="dxa"/>
            <w:vAlign w:val="center"/>
          </w:tcPr>
          <w:p w:rsidR="003169A0" w:rsidRPr="003169A0" w:rsidRDefault="003169A0" w:rsidP="003169A0">
            <w:pPr>
              <w:jc w:val="center"/>
              <w:rPr>
                <w:rFonts w:ascii="Arial" w:hAnsi="Arial" w:cs="Arial"/>
                <w:sz w:val="18"/>
                <w:szCs w:val="18"/>
              </w:rPr>
            </w:pPr>
            <w:r w:rsidRPr="003169A0">
              <w:rPr>
                <w:rFonts w:ascii="Arial" w:hAnsi="Arial" w:cs="Arial"/>
                <w:sz w:val="18"/>
                <w:szCs w:val="18"/>
              </w:rPr>
              <w:t>7,7</w:t>
            </w:r>
          </w:p>
        </w:tc>
      </w:tr>
    </w:tbl>
    <w:p w:rsidR="006B1B44" w:rsidRDefault="00113244" w:rsidP="00EA5359">
      <w:pPr>
        <w:spacing w:line="240" w:lineRule="auto"/>
        <w:rPr>
          <w:sz w:val="24"/>
          <w:szCs w:val="24"/>
        </w:rPr>
      </w:pPr>
      <w:r w:rsidRPr="00113244">
        <w:rPr>
          <w:sz w:val="24"/>
          <w:szCs w:val="24"/>
        </w:rPr>
        <w:t>Рассчитано по: Регионы России. Социально-экономические показатели. 2006 [Текст] / Стат. сб. – М.: Росстат, 2007. – 981 с.</w:t>
      </w:r>
      <w:r>
        <w:rPr>
          <w:sz w:val="24"/>
          <w:szCs w:val="24"/>
        </w:rPr>
        <w:t xml:space="preserve">; </w:t>
      </w:r>
      <w:r w:rsidRPr="00184F28">
        <w:rPr>
          <w:sz w:val="24"/>
        </w:rPr>
        <w:t>Регионы России. Социально-экономические показатели. 201</w:t>
      </w:r>
      <w:r w:rsidR="00EA5359">
        <w:rPr>
          <w:sz w:val="24"/>
        </w:rPr>
        <w:t>1</w:t>
      </w:r>
      <w:r w:rsidRPr="00184F28">
        <w:rPr>
          <w:sz w:val="24"/>
        </w:rPr>
        <w:t xml:space="preserve"> [Текст] / Стат. сб. – М.: Росстат, 201</w:t>
      </w:r>
      <w:r w:rsidR="00EA5359">
        <w:rPr>
          <w:sz w:val="24"/>
        </w:rPr>
        <w:t>1</w:t>
      </w:r>
      <w:r w:rsidRPr="00184F28">
        <w:rPr>
          <w:sz w:val="24"/>
        </w:rPr>
        <w:t xml:space="preserve">. – </w:t>
      </w:r>
      <w:r w:rsidR="00EA5359">
        <w:rPr>
          <w:sz w:val="24"/>
        </w:rPr>
        <w:t>990</w:t>
      </w:r>
      <w:r w:rsidRPr="00184F28">
        <w:rPr>
          <w:sz w:val="24"/>
        </w:rPr>
        <w:t xml:space="preserve"> с.</w:t>
      </w:r>
      <w:r>
        <w:rPr>
          <w:sz w:val="24"/>
        </w:rPr>
        <w:t xml:space="preserve">; </w:t>
      </w:r>
      <w:r w:rsidRPr="00113244">
        <w:rPr>
          <w:sz w:val="24"/>
          <w:szCs w:val="24"/>
        </w:rPr>
        <w:t>Регионы России. Социально-экономические показатели. 2016 [Текст] / Стат. сб. – М.: Росстат, 2016. – 1326 с.</w:t>
      </w:r>
    </w:p>
    <w:p w:rsidR="00EA5359" w:rsidRDefault="00EA5359" w:rsidP="005658B4">
      <w:pPr>
        <w:ind w:firstLine="709"/>
        <w:rPr>
          <w:sz w:val="24"/>
          <w:szCs w:val="24"/>
        </w:rPr>
      </w:pPr>
    </w:p>
    <w:p w:rsidR="00B415CE" w:rsidRDefault="00FA4F35" w:rsidP="00B415CE">
      <w:pPr>
        <w:ind w:firstLine="709"/>
        <w:rPr>
          <w:sz w:val="24"/>
          <w:szCs w:val="24"/>
        </w:rPr>
      </w:pPr>
      <w:r>
        <w:rPr>
          <w:sz w:val="24"/>
          <w:szCs w:val="24"/>
        </w:rPr>
        <w:t xml:space="preserve">Если </w:t>
      </w:r>
      <w:r w:rsidR="00B415CE">
        <w:rPr>
          <w:sz w:val="24"/>
          <w:szCs w:val="24"/>
        </w:rPr>
        <w:t>фокусироваться на результатах обрабатывающих производств старопромышленных регионов СЗФО как драйверах социально-экономического развития территорий</w:t>
      </w:r>
      <w:r>
        <w:rPr>
          <w:sz w:val="24"/>
          <w:szCs w:val="24"/>
        </w:rPr>
        <w:t> </w:t>
      </w:r>
      <w:r w:rsidRPr="00FA4F35">
        <w:rPr>
          <w:sz w:val="24"/>
          <w:szCs w:val="24"/>
        </w:rPr>
        <w:t>[</w:t>
      </w:r>
      <w:r w:rsidR="009F575E">
        <w:rPr>
          <w:sz w:val="24"/>
          <w:szCs w:val="24"/>
        </w:rPr>
        <w:t>2</w:t>
      </w:r>
      <w:r w:rsidR="002544DC">
        <w:rPr>
          <w:sz w:val="24"/>
          <w:szCs w:val="24"/>
        </w:rPr>
        <w:t xml:space="preserve">; </w:t>
      </w:r>
      <w:r w:rsidR="009F575E">
        <w:rPr>
          <w:sz w:val="24"/>
          <w:szCs w:val="24"/>
        </w:rPr>
        <w:t>4</w:t>
      </w:r>
      <w:r w:rsidR="002544DC">
        <w:rPr>
          <w:sz w:val="24"/>
          <w:szCs w:val="24"/>
        </w:rPr>
        <w:t xml:space="preserve">; </w:t>
      </w:r>
      <w:r w:rsidR="009F575E">
        <w:rPr>
          <w:sz w:val="24"/>
          <w:szCs w:val="24"/>
        </w:rPr>
        <w:t>7</w:t>
      </w:r>
      <w:r w:rsidRPr="00FA4F35">
        <w:rPr>
          <w:sz w:val="24"/>
          <w:szCs w:val="24"/>
        </w:rPr>
        <w:t>]</w:t>
      </w:r>
      <w:r w:rsidR="00B415CE">
        <w:rPr>
          <w:sz w:val="24"/>
          <w:szCs w:val="24"/>
        </w:rPr>
        <w:t>, можно заключить, что для них присущ в основном</w:t>
      </w:r>
      <w:r w:rsidR="00B415CE" w:rsidRPr="00B415CE">
        <w:rPr>
          <w:sz w:val="24"/>
          <w:szCs w:val="24"/>
        </w:rPr>
        <w:t xml:space="preserve"> инертный характер изменения номенклатуры, ее параметров, улучшения качества выпускаемой продукции и обновления основных фондов. Как и в целом по стране, хуже всего данные процессы протекают в машиностроении и производстве</w:t>
      </w:r>
      <w:r>
        <w:rPr>
          <w:sz w:val="24"/>
          <w:szCs w:val="24"/>
        </w:rPr>
        <w:t xml:space="preserve"> технологически сложных товаров </w:t>
      </w:r>
      <w:r w:rsidR="00B415CE" w:rsidRPr="00B415CE">
        <w:rPr>
          <w:sz w:val="24"/>
          <w:szCs w:val="24"/>
        </w:rPr>
        <w:t>[</w:t>
      </w:r>
      <w:r w:rsidR="009F575E">
        <w:rPr>
          <w:sz w:val="24"/>
          <w:szCs w:val="24"/>
        </w:rPr>
        <w:t>5</w:t>
      </w:r>
      <w:r w:rsidR="00B415CE" w:rsidRPr="00B415CE">
        <w:rPr>
          <w:sz w:val="24"/>
          <w:szCs w:val="24"/>
        </w:rPr>
        <w:t xml:space="preserve">]. В связи с </w:t>
      </w:r>
      <w:r w:rsidR="00B415CE">
        <w:rPr>
          <w:sz w:val="24"/>
          <w:szCs w:val="24"/>
        </w:rPr>
        <w:t>этим</w:t>
      </w:r>
      <w:r w:rsidR="00B415CE" w:rsidRPr="00B415CE">
        <w:rPr>
          <w:sz w:val="24"/>
          <w:szCs w:val="24"/>
        </w:rPr>
        <w:t xml:space="preserve"> темпы производства, не подкрепленные стабильно увеличивающимся спросом, годами остаются на одном уровне. Данное утверждение справедливо для всех старопромышленных регионов СЗФО за исключением Новгородской области, где прирост объема выпускаемой </w:t>
      </w:r>
      <w:r w:rsidR="00B415CE">
        <w:rPr>
          <w:sz w:val="24"/>
          <w:szCs w:val="24"/>
        </w:rPr>
        <w:t>продукции составил 45,4% (табл. 2</w:t>
      </w:r>
      <w:r w:rsidR="00B415CE" w:rsidRPr="00B415CE">
        <w:rPr>
          <w:sz w:val="24"/>
          <w:szCs w:val="24"/>
        </w:rPr>
        <w:t>).</w:t>
      </w:r>
    </w:p>
    <w:p w:rsidR="00FA4F35" w:rsidRDefault="00FA4F35" w:rsidP="00FA4F35">
      <w:pPr>
        <w:spacing w:line="240" w:lineRule="auto"/>
        <w:jc w:val="center"/>
        <w:rPr>
          <w:sz w:val="24"/>
          <w:szCs w:val="24"/>
        </w:rPr>
      </w:pPr>
      <w:r>
        <w:rPr>
          <w:sz w:val="24"/>
          <w:szCs w:val="24"/>
        </w:rPr>
        <w:t>Таблица 2 – Объем продукции, выпущенной обрабатывающими производствами в старопромышленных регионах СЗФО, млрд. руб. (в ценах 2015 г.)</w:t>
      </w:r>
    </w:p>
    <w:tbl>
      <w:tblPr>
        <w:tblStyle w:val="a7"/>
        <w:tblW w:w="5000" w:type="pct"/>
        <w:tblLayout w:type="fixed"/>
        <w:tblLook w:val="04A0" w:firstRow="1" w:lastRow="0" w:firstColumn="1" w:lastColumn="0" w:noHBand="0" w:noVBand="1"/>
      </w:tblPr>
      <w:tblGrid>
        <w:gridCol w:w="3033"/>
        <w:gridCol w:w="1048"/>
        <w:gridCol w:w="1050"/>
        <w:gridCol w:w="1049"/>
        <w:gridCol w:w="1050"/>
        <w:gridCol w:w="1050"/>
        <w:gridCol w:w="1574"/>
      </w:tblGrid>
      <w:tr w:rsidR="00FA4F35" w:rsidRPr="00FA4F35" w:rsidTr="002842BF">
        <w:tc>
          <w:tcPr>
            <w:tcW w:w="3033" w:type="dxa"/>
            <w:vAlign w:val="center"/>
          </w:tcPr>
          <w:p w:rsidR="00FA4F35" w:rsidRPr="00FA4F35" w:rsidRDefault="00FA4F35" w:rsidP="00FA4F35">
            <w:pPr>
              <w:jc w:val="center"/>
              <w:rPr>
                <w:rFonts w:ascii="Arial" w:hAnsi="Arial" w:cs="Arial"/>
                <w:sz w:val="18"/>
                <w:szCs w:val="18"/>
              </w:rPr>
            </w:pPr>
            <w:r>
              <w:rPr>
                <w:rFonts w:ascii="Arial" w:hAnsi="Arial" w:cs="Arial"/>
                <w:sz w:val="18"/>
                <w:szCs w:val="18"/>
              </w:rPr>
              <w:t>Регион</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2007 г.</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2010 г.</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2013 г.</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2014 г.</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2015 г.</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2015 г. / 2007 г., %</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Новгородская область</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129,3</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131,8</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163,6</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187,5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188,1</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145,4</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Вологодская область</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430,6</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415,9</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459,5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474,3</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481,8</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111,9</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Мурманская область</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125,5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116,3</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123,4</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124,4</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139,3</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111,0</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Республика Коми</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169,3</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156,2</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197,5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200,1</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172,7</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102,0</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Архангельская область</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176,5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224,1</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252,4</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168,6</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170,5</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96,6</w:t>
            </w:r>
          </w:p>
        </w:tc>
      </w:tr>
      <w:tr w:rsidR="00FA4F35" w:rsidRPr="00FA4F35" w:rsidTr="002842BF">
        <w:tc>
          <w:tcPr>
            <w:tcW w:w="3033" w:type="dxa"/>
            <w:vAlign w:val="center"/>
          </w:tcPr>
          <w:p w:rsidR="00FA4F35" w:rsidRPr="00FA4F35" w:rsidRDefault="00FA4F35" w:rsidP="00FA4F35">
            <w:pPr>
              <w:jc w:val="left"/>
              <w:rPr>
                <w:rFonts w:ascii="Arial" w:hAnsi="Arial" w:cs="Arial"/>
                <w:sz w:val="18"/>
                <w:szCs w:val="18"/>
              </w:rPr>
            </w:pPr>
            <w:r w:rsidRPr="00FA4F35">
              <w:rPr>
                <w:rFonts w:ascii="Arial" w:hAnsi="Arial" w:cs="Arial"/>
                <w:sz w:val="18"/>
                <w:szCs w:val="18"/>
              </w:rPr>
              <w:t>Республика Карелия</w:t>
            </w:r>
          </w:p>
        </w:tc>
        <w:tc>
          <w:tcPr>
            <w:tcW w:w="1048"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117,6</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81,9</w:t>
            </w:r>
          </w:p>
        </w:tc>
        <w:tc>
          <w:tcPr>
            <w:tcW w:w="1049"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69,3</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71,5</w:t>
            </w:r>
          </w:p>
        </w:tc>
        <w:tc>
          <w:tcPr>
            <w:tcW w:w="1050"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70,9</w:t>
            </w:r>
          </w:p>
        </w:tc>
        <w:tc>
          <w:tcPr>
            <w:tcW w:w="1574" w:type="dxa"/>
            <w:vAlign w:val="center"/>
          </w:tcPr>
          <w:p w:rsidR="00FA4F35" w:rsidRPr="00FA4F35" w:rsidRDefault="00FA4F35" w:rsidP="00FA4F35">
            <w:pPr>
              <w:jc w:val="center"/>
              <w:rPr>
                <w:rFonts w:ascii="Arial" w:hAnsi="Arial" w:cs="Arial"/>
                <w:sz w:val="18"/>
                <w:szCs w:val="18"/>
              </w:rPr>
            </w:pPr>
            <w:r w:rsidRPr="00FA4F35">
              <w:rPr>
                <w:rFonts w:ascii="Arial" w:hAnsi="Arial" w:cs="Arial"/>
                <w:sz w:val="18"/>
                <w:szCs w:val="18"/>
              </w:rPr>
              <w:t>60,3</w:t>
            </w:r>
          </w:p>
        </w:tc>
      </w:tr>
    </w:tbl>
    <w:p w:rsidR="00FA4F35" w:rsidRDefault="002842BF" w:rsidP="002842BF">
      <w:pPr>
        <w:spacing w:line="240" w:lineRule="auto"/>
        <w:rPr>
          <w:sz w:val="24"/>
          <w:szCs w:val="24"/>
        </w:rPr>
      </w:pPr>
      <w:r w:rsidRPr="002842BF">
        <w:rPr>
          <w:sz w:val="24"/>
          <w:szCs w:val="24"/>
        </w:rPr>
        <w:t>Рассчитано по: Промышленное производство [Электронный ресурс] / Официальный сайт Федеральной службы государственной статистики. – Режим доступа: www.gks.ru/wps/wcm/connect/rosstat_main/rosstat/ru/statistics/enterprise/industrial/</w:t>
      </w:r>
    </w:p>
    <w:p w:rsidR="002842BF" w:rsidRDefault="002842BF" w:rsidP="002842BF">
      <w:pPr>
        <w:ind w:firstLine="709"/>
        <w:rPr>
          <w:sz w:val="24"/>
          <w:szCs w:val="24"/>
        </w:rPr>
      </w:pPr>
    </w:p>
    <w:p w:rsidR="002272B8" w:rsidRDefault="003B0151" w:rsidP="003B0151">
      <w:pPr>
        <w:ind w:firstLine="709"/>
        <w:rPr>
          <w:sz w:val="24"/>
          <w:szCs w:val="24"/>
        </w:rPr>
      </w:pPr>
      <w:r w:rsidRPr="003B0151">
        <w:rPr>
          <w:sz w:val="24"/>
          <w:szCs w:val="24"/>
        </w:rPr>
        <w:t>Говорить об активном развитии обрабатывающих производств старопромышленных регионов СЗФО не приходится вследствие того, что они в большинстве своем не обеспечены в требуемом объеме инвестиционным предложением.</w:t>
      </w:r>
      <w:r>
        <w:rPr>
          <w:sz w:val="24"/>
          <w:szCs w:val="24"/>
        </w:rPr>
        <w:t xml:space="preserve"> </w:t>
      </w:r>
      <w:r w:rsidRPr="003B0151">
        <w:rPr>
          <w:sz w:val="24"/>
          <w:szCs w:val="24"/>
        </w:rPr>
        <w:t xml:space="preserve">Органы власти </w:t>
      </w:r>
      <w:r>
        <w:rPr>
          <w:sz w:val="24"/>
          <w:szCs w:val="24"/>
        </w:rPr>
        <w:t>на различных уровнях</w:t>
      </w:r>
      <w:r w:rsidRPr="003B0151">
        <w:rPr>
          <w:sz w:val="24"/>
          <w:szCs w:val="24"/>
        </w:rPr>
        <w:t xml:space="preserve"> реализуют комплекс мероприятий, направленных на устранение негативных факторов развития промышленного сектора. В числе инициатив можно отметить приоритетное финансирование проектов по разработке и освоению новой российской техники, стимулирование на нее спроса с запретом государственным организациям приобретать иностранное оборудование при наличии отечественных аналогов. Однако в настоящее время принимаемые меры не позволяют значительно изменить ситуацию</w:t>
      </w:r>
      <w:r>
        <w:rPr>
          <w:sz w:val="24"/>
          <w:szCs w:val="24"/>
        </w:rPr>
        <w:t> </w:t>
      </w:r>
      <w:r w:rsidRPr="003B0151">
        <w:rPr>
          <w:sz w:val="24"/>
          <w:szCs w:val="24"/>
        </w:rPr>
        <w:t>[</w:t>
      </w:r>
      <w:r w:rsidR="009F575E">
        <w:rPr>
          <w:sz w:val="24"/>
          <w:szCs w:val="24"/>
        </w:rPr>
        <w:t>3</w:t>
      </w:r>
      <w:r w:rsidRPr="003B0151">
        <w:rPr>
          <w:sz w:val="24"/>
          <w:szCs w:val="24"/>
        </w:rPr>
        <w:t>]. Прежде всего, не хватает мероприятий, направленных на устранение острого дефицита финансовых ресурсов в промышленном секторе экономики.</w:t>
      </w:r>
    </w:p>
    <w:p w:rsidR="003B0151" w:rsidRDefault="002272B8" w:rsidP="003B0151">
      <w:pPr>
        <w:ind w:firstLine="709"/>
        <w:rPr>
          <w:sz w:val="24"/>
          <w:szCs w:val="24"/>
        </w:rPr>
      </w:pPr>
      <w:r w:rsidRPr="002272B8">
        <w:rPr>
          <w:sz w:val="24"/>
          <w:szCs w:val="24"/>
        </w:rPr>
        <w:lastRenderedPageBreak/>
        <w:t xml:space="preserve">Из-за их </w:t>
      </w:r>
      <w:r>
        <w:rPr>
          <w:sz w:val="24"/>
          <w:szCs w:val="24"/>
        </w:rPr>
        <w:t>недостатка</w:t>
      </w:r>
      <w:r w:rsidRPr="002272B8">
        <w:rPr>
          <w:sz w:val="24"/>
          <w:szCs w:val="24"/>
        </w:rPr>
        <w:t xml:space="preserve"> имеет место низкая динамика инвестиций в основной капитал обрабатывающих производств в старопромышленных реги</w:t>
      </w:r>
      <w:r>
        <w:rPr>
          <w:sz w:val="24"/>
          <w:szCs w:val="24"/>
        </w:rPr>
        <w:t>онах СЗФО (рис. 1</w:t>
      </w:r>
      <w:r w:rsidRPr="002272B8">
        <w:rPr>
          <w:sz w:val="24"/>
          <w:szCs w:val="24"/>
        </w:rPr>
        <w:t>). В среднесрочной перспективе это может привести к деградации наименее обеспеченных инвестиционным предложением отраслей вследствие утраты выпускаемой ими продукции конкурентоспособности на международном рынке, полного морального и физического устаревания основных производственных фондов и отсутствия средств на модернизацию.</w:t>
      </w:r>
    </w:p>
    <w:p w:rsidR="002272B8" w:rsidRDefault="002272B8" w:rsidP="002272B8">
      <w:pPr>
        <w:spacing w:line="240" w:lineRule="auto"/>
        <w:jc w:val="center"/>
        <w:rPr>
          <w:sz w:val="24"/>
          <w:szCs w:val="24"/>
        </w:rPr>
      </w:pPr>
      <w:r>
        <w:rPr>
          <w:noProof/>
          <w:lang w:eastAsia="ru-RU"/>
        </w:rPr>
        <w:drawing>
          <wp:inline distT="0" distB="0" distL="0" distR="0" wp14:anchorId="19A671F3" wp14:editId="216E49B3">
            <wp:extent cx="6120000" cy="2520000"/>
            <wp:effectExtent l="0" t="0" r="0" b="0"/>
            <wp:docPr id="2" name="Диаграмма 2">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F5C0BE0-54D8-4800-8B16-0B96C979B7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72B8" w:rsidRDefault="002272B8" w:rsidP="002272B8">
      <w:pPr>
        <w:spacing w:line="240" w:lineRule="auto"/>
        <w:jc w:val="center"/>
        <w:rPr>
          <w:sz w:val="24"/>
          <w:szCs w:val="24"/>
        </w:rPr>
      </w:pPr>
      <w:r w:rsidRPr="002272B8">
        <w:rPr>
          <w:sz w:val="24"/>
          <w:szCs w:val="24"/>
        </w:rPr>
        <w:t xml:space="preserve">Рисунок </w:t>
      </w:r>
      <w:r>
        <w:rPr>
          <w:sz w:val="24"/>
          <w:szCs w:val="24"/>
        </w:rPr>
        <w:t>1</w:t>
      </w:r>
      <w:r w:rsidRPr="002272B8">
        <w:rPr>
          <w:sz w:val="24"/>
          <w:szCs w:val="24"/>
        </w:rPr>
        <w:t xml:space="preserve"> – Инвестиции в основной капитал обрабатывающих производств старопромышленных регионов СЗФО в 2015 г., % к 2007 г.</w:t>
      </w:r>
    </w:p>
    <w:p w:rsidR="002272B8" w:rsidRDefault="002272B8" w:rsidP="002272B8">
      <w:pPr>
        <w:spacing w:line="240" w:lineRule="auto"/>
        <w:rPr>
          <w:sz w:val="24"/>
          <w:szCs w:val="24"/>
        </w:rPr>
      </w:pPr>
      <w:r>
        <w:rPr>
          <w:sz w:val="24"/>
          <w:szCs w:val="24"/>
        </w:rPr>
        <w:t xml:space="preserve">Источник: </w:t>
      </w:r>
      <w:r w:rsidRPr="002272B8">
        <w:rPr>
          <w:sz w:val="24"/>
          <w:szCs w:val="24"/>
        </w:rPr>
        <w:t>Рассчитано по данным территориальных органов Федеральной службы</w:t>
      </w:r>
      <w:r w:rsidR="004A5BD1">
        <w:rPr>
          <w:sz w:val="24"/>
          <w:szCs w:val="24"/>
        </w:rPr>
        <w:t xml:space="preserve"> государственной статистики по р</w:t>
      </w:r>
      <w:r w:rsidRPr="002272B8">
        <w:rPr>
          <w:sz w:val="24"/>
          <w:szCs w:val="24"/>
        </w:rPr>
        <w:t>еспубликам Карелия и Коми, Архангельской, Вологодской, Мурманской и Новгородской областям.</w:t>
      </w:r>
    </w:p>
    <w:p w:rsidR="002272B8" w:rsidRDefault="002272B8" w:rsidP="003B0151">
      <w:pPr>
        <w:ind w:firstLine="709"/>
        <w:rPr>
          <w:sz w:val="24"/>
          <w:szCs w:val="24"/>
        </w:rPr>
      </w:pPr>
    </w:p>
    <w:p w:rsidR="002272B8" w:rsidRDefault="00424E4F" w:rsidP="003B0151">
      <w:pPr>
        <w:ind w:firstLine="709"/>
        <w:rPr>
          <w:sz w:val="24"/>
          <w:szCs w:val="24"/>
        </w:rPr>
      </w:pPr>
      <w:r w:rsidRPr="00424E4F">
        <w:rPr>
          <w:sz w:val="24"/>
          <w:szCs w:val="24"/>
        </w:rPr>
        <w:t xml:space="preserve">Таким образом, развитие </w:t>
      </w:r>
      <w:r w:rsidR="001E0D98">
        <w:rPr>
          <w:sz w:val="24"/>
          <w:szCs w:val="24"/>
        </w:rPr>
        <w:t>промышленных производств в старопромышленных регионах СЗФО</w:t>
      </w:r>
      <w:r w:rsidRPr="00424E4F">
        <w:rPr>
          <w:sz w:val="24"/>
          <w:szCs w:val="24"/>
        </w:rPr>
        <w:t xml:space="preserve"> не обеспеченно необходимым объемом финансовых ресурсов, что значительно препятствует уверенному освоению новейших технологических укладов, выпуску конкурентоспособной на международном рынке продукции. Как следствие, качественные характеристики производимой товарной номенклатуры существенно не меняются</w:t>
      </w:r>
      <w:r w:rsidR="001E0D98">
        <w:rPr>
          <w:sz w:val="24"/>
          <w:szCs w:val="24"/>
        </w:rPr>
        <w:t xml:space="preserve"> на протяжении многих лет</w:t>
      </w:r>
      <w:r w:rsidRPr="00424E4F">
        <w:rPr>
          <w:sz w:val="24"/>
          <w:szCs w:val="24"/>
        </w:rPr>
        <w:t>, что обусловливает ее недостаточную привлекательность для потенциальных потребителей и не создает предпосылок для наращивания объема отгрузки. Финансовый аспект является основной причиной возникновения трудностей с привлечением высококвалифицированной рабочей силы и приобретением современных средств производства.</w:t>
      </w:r>
    </w:p>
    <w:p w:rsidR="001E0D98" w:rsidRDefault="001E0D98" w:rsidP="003B0151">
      <w:pPr>
        <w:ind w:firstLine="709"/>
        <w:rPr>
          <w:sz w:val="24"/>
          <w:szCs w:val="24"/>
        </w:rPr>
      </w:pPr>
      <w:r>
        <w:rPr>
          <w:sz w:val="24"/>
          <w:szCs w:val="24"/>
        </w:rPr>
        <w:t xml:space="preserve">Еще одним нюансом сложившейся ситуации является низкая перспективность структурной модернизации промышленного сектора в исследуемых старопромышленных регионах. </w:t>
      </w:r>
      <w:r w:rsidR="004A5BD1">
        <w:rPr>
          <w:sz w:val="24"/>
          <w:szCs w:val="24"/>
        </w:rPr>
        <w:t>Для ее активизации целесообразной видится реализация следующих направлений:</w:t>
      </w:r>
    </w:p>
    <w:p w:rsidR="001E0D98" w:rsidRPr="001E0D98" w:rsidRDefault="004A5BD1" w:rsidP="001E0D98">
      <w:pPr>
        <w:ind w:firstLine="709"/>
        <w:rPr>
          <w:sz w:val="24"/>
          <w:szCs w:val="24"/>
        </w:rPr>
      </w:pPr>
      <w:r>
        <w:rPr>
          <w:sz w:val="24"/>
          <w:szCs w:val="24"/>
        </w:rPr>
        <w:t>1. </w:t>
      </w:r>
      <w:r w:rsidR="001E0D98" w:rsidRPr="001E0D98">
        <w:rPr>
          <w:sz w:val="24"/>
          <w:szCs w:val="24"/>
        </w:rPr>
        <w:t xml:space="preserve">Предоставление субъектам промышленной деятельности льготных условий функционирования со стороны государства, субсидий, инвестиционных кредитов для </w:t>
      </w:r>
      <w:r w:rsidR="001E0D98" w:rsidRPr="001E0D98">
        <w:rPr>
          <w:sz w:val="24"/>
          <w:szCs w:val="24"/>
        </w:rPr>
        <w:lastRenderedPageBreak/>
        <w:t>реализации перспективных проектов технологического развития и освоения инновационных разработок. В контексте развития кадрового потенциала необходимы гранты для образовательных учреждений, осуществляющих подготовку высококвалифицированных специалистов для инновационно активных отраслей экономики.</w:t>
      </w:r>
    </w:p>
    <w:p w:rsidR="001E0D98" w:rsidRPr="001E0D98" w:rsidRDefault="004A5BD1" w:rsidP="001E0D98">
      <w:pPr>
        <w:ind w:firstLine="709"/>
        <w:rPr>
          <w:sz w:val="24"/>
          <w:szCs w:val="24"/>
        </w:rPr>
      </w:pPr>
      <w:r>
        <w:rPr>
          <w:sz w:val="24"/>
          <w:szCs w:val="24"/>
        </w:rPr>
        <w:t>2. </w:t>
      </w:r>
      <w:r w:rsidR="001E0D98" w:rsidRPr="001E0D98">
        <w:rPr>
          <w:sz w:val="24"/>
          <w:szCs w:val="24"/>
        </w:rPr>
        <w:t>Совершенствование действующего законодательства в области регулирования налоговой политики и снижение административной нагрузки. В первую очередь, следует апеллировать к активизации практики предоставления налоговых льгот, сокращению количества и конкретизации обязательных требований к промышленным предприятиям, уменьшению количества процедур проверки. Воздействие на промышленный сектор со стороны государства должно быть направлено не только на создание благоприятных условий функционирования для крепко стоящих на ногах субъектов промышленной деятельности, но и на повышение его привлекательности для новых участников рынка.</w:t>
      </w:r>
    </w:p>
    <w:p w:rsidR="004A5BD1" w:rsidRDefault="004A5BD1" w:rsidP="001E0D98">
      <w:pPr>
        <w:ind w:firstLine="709"/>
        <w:rPr>
          <w:sz w:val="24"/>
          <w:szCs w:val="24"/>
        </w:rPr>
      </w:pPr>
      <w:r>
        <w:rPr>
          <w:sz w:val="24"/>
          <w:szCs w:val="24"/>
        </w:rPr>
        <w:t>3. </w:t>
      </w:r>
      <w:r w:rsidR="001E0D98" w:rsidRPr="001E0D98">
        <w:rPr>
          <w:sz w:val="24"/>
          <w:szCs w:val="24"/>
        </w:rPr>
        <w:t>Увеличение степени кооперации между государством, промышленными предприятиями и образовательными учреждениями в целях повышения качества подготовки специалистов для промышленности и увеличения количества выпускников для инновационно активных отраслей экономики. Необходимо восстановление развернутой системы подготовки профессиональных рабочих, расширение практики обучения непосредственно на мощностях действующих промышленных предприятий, обновление материально-технической базы учебных заведений.</w:t>
      </w:r>
    </w:p>
    <w:p w:rsidR="00883E97" w:rsidRPr="00883E97" w:rsidRDefault="00883E97" w:rsidP="00883E97">
      <w:pPr>
        <w:ind w:firstLine="709"/>
        <w:rPr>
          <w:sz w:val="24"/>
          <w:szCs w:val="24"/>
        </w:rPr>
      </w:pPr>
      <w:r>
        <w:rPr>
          <w:sz w:val="24"/>
          <w:szCs w:val="24"/>
        </w:rPr>
        <w:t xml:space="preserve">Способствовать структурной модернизации промышленного сектора экономики будет </w:t>
      </w:r>
      <w:r w:rsidRPr="00883E97">
        <w:rPr>
          <w:sz w:val="24"/>
          <w:szCs w:val="24"/>
        </w:rPr>
        <w:t xml:space="preserve">благоприятный налоговый режим, </w:t>
      </w:r>
      <w:r>
        <w:rPr>
          <w:sz w:val="24"/>
          <w:szCs w:val="24"/>
        </w:rPr>
        <w:t>создание условий</w:t>
      </w:r>
      <w:r w:rsidRPr="00883E97">
        <w:rPr>
          <w:sz w:val="24"/>
          <w:szCs w:val="24"/>
        </w:rPr>
        <w:t xml:space="preserve"> для справедливой конкуренции, низкие административные барьеры и развитая инф</w:t>
      </w:r>
      <w:r>
        <w:rPr>
          <w:sz w:val="24"/>
          <w:szCs w:val="24"/>
        </w:rPr>
        <w:t>раструктура для ведения бизнеса, о чем свидетельствует положительный опыт Калужской области. В регионе и</w:t>
      </w:r>
      <w:r w:rsidRPr="00883E97">
        <w:rPr>
          <w:sz w:val="24"/>
          <w:szCs w:val="24"/>
        </w:rPr>
        <w:t xml:space="preserve">нвесторам предоставляются налоговые льготы, государственные гарантии и содействие на всех уровнях региональной власти. </w:t>
      </w:r>
      <w:r>
        <w:rPr>
          <w:sz w:val="24"/>
          <w:szCs w:val="24"/>
        </w:rPr>
        <w:t>Т</w:t>
      </w:r>
      <w:r w:rsidRPr="00883E97">
        <w:rPr>
          <w:sz w:val="24"/>
          <w:szCs w:val="24"/>
        </w:rPr>
        <w:t>акой подход распространяется только в отношении инвестиционных проектов, соответствующих следующим параметрам</w:t>
      </w:r>
      <w:r w:rsidR="009F575E">
        <w:rPr>
          <w:sz w:val="24"/>
          <w:szCs w:val="24"/>
        </w:rPr>
        <w:t> </w:t>
      </w:r>
      <w:r w:rsidR="009F575E" w:rsidRPr="009F575E">
        <w:rPr>
          <w:sz w:val="24"/>
          <w:szCs w:val="24"/>
        </w:rPr>
        <w:t>[</w:t>
      </w:r>
      <w:r w:rsidR="009F575E">
        <w:rPr>
          <w:sz w:val="24"/>
          <w:szCs w:val="24"/>
        </w:rPr>
        <w:t>6</w:t>
      </w:r>
      <w:r w:rsidR="009F575E" w:rsidRPr="009F575E">
        <w:rPr>
          <w:sz w:val="24"/>
          <w:szCs w:val="24"/>
        </w:rPr>
        <w:t>]</w:t>
      </w:r>
      <w:r w:rsidRPr="00883E97">
        <w:rPr>
          <w:sz w:val="24"/>
          <w:szCs w:val="24"/>
        </w:rPr>
        <w:t>:</w:t>
      </w:r>
    </w:p>
    <w:p w:rsidR="00883E97" w:rsidRPr="00883E97" w:rsidRDefault="00883E97" w:rsidP="00883E97">
      <w:pPr>
        <w:ind w:firstLine="709"/>
        <w:rPr>
          <w:sz w:val="24"/>
          <w:szCs w:val="24"/>
        </w:rPr>
      </w:pPr>
      <w:r>
        <w:rPr>
          <w:sz w:val="24"/>
          <w:szCs w:val="24"/>
        </w:rPr>
        <w:t>– </w:t>
      </w:r>
      <w:r w:rsidRPr="00883E97">
        <w:rPr>
          <w:sz w:val="24"/>
          <w:szCs w:val="24"/>
        </w:rPr>
        <w:t>высокая добавленная стоимость производимой продукции;</w:t>
      </w:r>
    </w:p>
    <w:p w:rsidR="00883E97" w:rsidRPr="00883E97" w:rsidRDefault="00883E97" w:rsidP="00883E97">
      <w:pPr>
        <w:ind w:firstLine="709"/>
        <w:rPr>
          <w:sz w:val="24"/>
          <w:szCs w:val="24"/>
        </w:rPr>
      </w:pPr>
      <w:r>
        <w:rPr>
          <w:sz w:val="24"/>
          <w:szCs w:val="24"/>
        </w:rPr>
        <w:t>– </w:t>
      </w:r>
      <w:r w:rsidRPr="00883E97">
        <w:rPr>
          <w:sz w:val="24"/>
          <w:szCs w:val="24"/>
        </w:rPr>
        <w:t>высокий экспортный потенциал продукции;</w:t>
      </w:r>
    </w:p>
    <w:p w:rsidR="00883E97" w:rsidRPr="00883E97" w:rsidRDefault="00883E97" w:rsidP="00883E97">
      <w:pPr>
        <w:ind w:firstLine="709"/>
        <w:rPr>
          <w:sz w:val="24"/>
          <w:szCs w:val="24"/>
        </w:rPr>
      </w:pPr>
      <w:r>
        <w:rPr>
          <w:sz w:val="24"/>
          <w:szCs w:val="24"/>
        </w:rPr>
        <w:t>– </w:t>
      </w:r>
      <w:r w:rsidRPr="00883E97">
        <w:rPr>
          <w:sz w:val="24"/>
          <w:szCs w:val="24"/>
        </w:rPr>
        <w:t>создание высокопроизводительных рабочих мест;</w:t>
      </w:r>
    </w:p>
    <w:p w:rsidR="00883E97" w:rsidRPr="00883E97" w:rsidRDefault="00883E97" w:rsidP="00883E97">
      <w:pPr>
        <w:ind w:firstLine="709"/>
        <w:rPr>
          <w:sz w:val="24"/>
          <w:szCs w:val="24"/>
        </w:rPr>
      </w:pPr>
      <w:r>
        <w:rPr>
          <w:sz w:val="24"/>
          <w:szCs w:val="24"/>
        </w:rPr>
        <w:t>– </w:t>
      </w:r>
      <w:r w:rsidRPr="00883E97">
        <w:rPr>
          <w:sz w:val="24"/>
          <w:szCs w:val="24"/>
        </w:rPr>
        <w:t>высокая степень использования местных ресурсов;</w:t>
      </w:r>
    </w:p>
    <w:p w:rsidR="00883E97" w:rsidRPr="00883E97" w:rsidRDefault="00883E97" w:rsidP="00883E97">
      <w:pPr>
        <w:ind w:firstLine="709"/>
        <w:rPr>
          <w:sz w:val="24"/>
          <w:szCs w:val="24"/>
        </w:rPr>
      </w:pPr>
      <w:r>
        <w:rPr>
          <w:sz w:val="24"/>
          <w:szCs w:val="24"/>
        </w:rPr>
        <w:t>– </w:t>
      </w:r>
      <w:r w:rsidRPr="00883E97">
        <w:rPr>
          <w:sz w:val="24"/>
          <w:szCs w:val="24"/>
        </w:rPr>
        <w:t>низкая степень воздействия на окружающую среду.</w:t>
      </w:r>
    </w:p>
    <w:p w:rsidR="00883E97" w:rsidRPr="009F575E" w:rsidRDefault="00883E97" w:rsidP="00883E97">
      <w:pPr>
        <w:ind w:firstLine="709"/>
        <w:rPr>
          <w:sz w:val="24"/>
          <w:szCs w:val="24"/>
        </w:rPr>
      </w:pPr>
      <w:r w:rsidRPr="00883E97">
        <w:rPr>
          <w:sz w:val="24"/>
          <w:szCs w:val="24"/>
        </w:rPr>
        <w:t xml:space="preserve">Особенность развития </w:t>
      </w:r>
      <w:r>
        <w:rPr>
          <w:sz w:val="24"/>
          <w:szCs w:val="24"/>
        </w:rPr>
        <w:t xml:space="preserve">промышленного сектора экономики в </w:t>
      </w:r>
      <w:r w:rsidRPr="00883E97">
        <w:rPr>
          <w:sz w:val="24"/>
          <w:szCs w:val="24"/>
        </w:rPr>
        <w:t xml:space="preserve">Калужской области заключается в создании условий для перехода от преимущественно индустриального типа развития к инновационно-индустриальному. Для этого в регионе </w:t>
      </w:r>
      <w:r>
        <w:rPr>
          <w:sz w:val="24"/>
          <w:szCs w:val="24"/>
        </w:rPr>
        <w:t>изначально была</w:t>
      </w:r>
      <w:r w:rsidRPr="00883E97">
        <w:rPr>
          <w:sz w:val="24"/>
          <w:szCs w:val="24"/>
        </w:rPr>
        <w:t xml:space="preserve"> сделана ставка на предприятия автомобильного кластера как основу экономического роста. </w:t>
      </w:r>
      <w:r w:rsidRPr="00883E97">
        <w:rPr>
          <w:sz w:val="24"/>
          <w:szCs w:val="24"/>
        </w:rPr>
        <w:lastRenderedPageBreak/>
        <w:t>Одновременно с этим осуществлялось укрепление позиций малых и средних инновационных предприятий, консалтинговых и то</w:t>
      </w:r>
      <w:r w:rsidR="009F575E">
        <w:rPr>
          <w:sz w:val="24"/>
          <w:szCs w:val="24"/>
        </w:rPr>
        <w:t>рговых организаций, сферы услуг </w:t>
      </w:r>
      <w:r w:rsidR="009F575E" w:rsidRPr="009F575E">
        <w:rPr>
          <w:sz w:val="24"/>
          <w:szCs w:val="24"/>
        </w:rPr>
        <w:t>[</w:t>
      </w:r>
      <w:r w:rsidR="009F575E">
        <w:rPr>
          <w:sz w:val="24"/>
          <w:szCs w:val="24"/>
        </w:rPr>
        <w:t>1</w:t>
      </w:r>
      <w:r w:rsidR="009F575E" w:rsidRPr="009F575E">
        <w:rPr>
          <w:sz w:val="24"/>
          <w:szCs w:val="24"/>
        </w:rPr>
        <w:t>]</w:t>
      </w:r>
      <w:r w:rsidR="009F575E">
        <w:rPr>
          <w:sz w:val="24"/>
          <w:szCs w:val="24"/>
        </w:rPr>
        <w:t>.</w:t>
      </w:r>
    </w:p>
    <w:p w:rsidR="007358F7" w:rsidRDefault="007358F7" w:rsidP="00883E97">
      <w:pPr>
        <w:ind w:firstLine="709"/>
        <w:rPr>
          <w:sz w:val="24"/>
          <w:szCs w:val="24"/>
        </w:rPr>
      </w:pPr>
      <w:r>
        <w:rPr>
          <w:sz w:val="24"/>
          <w:szCs w:val="24"/>
        </w:rPr>
        <w:t>Реализация обозначенных направлений создаст качественную основу для активизации структурной модернизации промышленного сектора экономики старопромышленных регионов СЗФО, позволит</w:t>
      </w:r>
      <w:r w:rsidR="00075449">
        <w:rPr>
          <w:sz w:val="24"/>
          <w:szCs w:val="24"/>
        </w:rPr>
        <w:t xml:space="preserve"> в дальнейшем</w:t>
      </w:r>
      <w:r>
        <w:rPr>
          <w:sz w:val="24"/>
          <w:szCs w:val="24"/>
        </w:rPr>
        <w:t xml:space="preserve"> осуществить переход от сырьев</w:t>
      </w:r>
      <w:r w:rsidR="00075449">
        <w:rPr>
          <w:sz w:val="24"/>
          <w:szCs w:val="24"/>
        </w:rPr>
        <w:t>ой к высокоукладной экономике.</w:t>
      </w:r>
    </w:p>
    <w:p w:rsidR="00075449" w:rsidRDefault="00075449" w:rsidP="00883E97">
      <w:pPr>
        <w:ind w:firstLine="709"/>
        <w:rPr>
          <w:sz w:val="24"/>
          <w:szCs w:val="24"/>
        </w:rPr>
      </w:pPr>
    </w:p>
    <w:p w:rsidR="00075449" w:rsidRPr="00075449" w:rsidRDefault="00075449" w:rsidP="002544DC">
      <w:pPr>
        <w:jc w:val="center"/>
        <w:rPr>
          <w:b/>
          <w:sz w:val="24"/>
          <w:szCs w:val="24"/>
        </w:rPr>
      </w:pPr>
      <w:r w:rsidRPr="00075449">
        <w:rPr>
          <w:b/>
          <w:sz w:val="24"/>
          <w:szCs w:val="24"/>
        </w:rPr>
        <w:t>Список литературы</w:t>
      </w:r>
    </w:p>
    <w:p w:rsidR="009F575E" w:rsidRDefault="009F575E" w:rsidP="00883E97">
      <w:pPr>
        <w:ind w:firstLine="709"/>
        <w:rPr>
          <w:sz w:val="24"/>
          <w:szCs w:val="24"/>
        </w:rPr>
      </w:pPr>
      <w:r>
        <w:rPr>
          <w:sz w:val="24"/>
          <w:szCs w:val="24"/>
        </w:rPr>
        <w:t>1. </w:t>
      </w:r>
      <w:r w:rsidRPr="002544DC">
        <w:rPr>
          <w:sz w:val="24"/>
          <w:szCs w:val="24"/>
        </w:rPr>
        <w:t>Авдеева, В.И. Стратегия развития Калужской области до 2030 года [Текст] / В.И. Авдеева, Д.М. Аганичев // Вестник Российской академии естественных наук. – 2010. – № 2. – С. 19-23.</w:t>
      </w:r>
    </w:p>
    <w:p w:rsidR="009F575E" w:rsidRDefault="009F575E" w:rsidP="00883E97">
      <w:pPr>
        <w:ind w:firstLine="709"/>
        <w:rPr>
          <w:sz w:val="24"/>
          <w:szCs w:val="24"/>
        </w:rPr>
      </w:pPr>
      <w:r>
        <w:rPr>
          <w:sz w:val="24"/>
          <w:szCs w:val="24"/>
        </w:rPr>
        <w:t xml:space="preserve">2. Антонова, З.Г. Модернизация экономики как главный фактор экономического роста </w:t>
      </w:r>
      <w:r w:rsidRPr="00075449">
        <w:rPr>
          <w:sz w:val="24"/>
          <w:szCs w:val="24"/>
        </w:rPr>
        <w:t>[</w:t>
      </w:r>
      <w:r>
        <w:rPr>
          <w:sz w:val="24"/>
          <w:szCs w:val="24"/>
        </w:rPr>
        <w:t>Текст</w:t>
      </w:r>
      <w:r w:rsidRPr="00075449">
        <w:rPr>
          <w:sz w:val="24"/>
          <w:szCs w:val="24"/>
        </w:rPr>
        <w:t>]</w:t>
      </w:r>
      <w:r>
        <w:rPr>
          <w:sz w:val="24"/>
          <w:szCs w:val="24"/>
        </w:rPr>
        <w:t xml:space="preserve"> / З.Г. Антонова // Известия Томского политехнического университета. – 2011. – № 6. – С. 10-15.</w:t>
      </w:r>
    </w:p>
    <w:p w:rsidR="009F575E" w:rsidRDefault="009F575E" w:rsidP="00883E97">
      <w:pPr>
        <w:ind w:firstLine="709"/>
        <w:rPr>
          <w:sz w:val="24"/>
          <w:szCs w:val="24"/>
        </w:rPr>
      </w:pPr>
      <w:r>
        <w:rPr>
          <w:sz w:val="24"/>
          <w:szCs w:val="24"/>
        </w:rPr>
        <w:t>3. </w:t>
      </w:r>
      <w:r w:rsidRPr="00075449">
        <w:rPr>
          <w:sz w:val="24"/>
          <w:szCs w:val="24"/>
        </w:rPr>
        <w:t>Водомеров, Н. Государственное планирование станкостроения – ключевое звено импортозамещения [Текст] / Н. Водомеров // Экономист. – 2017. – № 1. – С. 29-37.</w:t>
      </w:r>
    </w:p>
    <w:p w:rsidR="009F575E" w:rsidRPr="00075449" w:rsidRDefault="009F575E" w:rsidP="00883E97">
      <w:pPr>
        <w:ind w:firstLine="709"/>
        <w:rPr>
          <w:sz w:val="24"/>
          <w:szCs w:val="24"/>
        </w:rPr>
      </w:pPr>
      <w:r>
        <w:rPr>
          <w:sz w:val="24"/>
          <w:szCs w:val="24"/>
        </w:rPr>
        <w:t xml:space="preserve">4. Изряднова, О.И. Структурные альтернативы российских обрабатывающих производств и архитектура технологической модернизации (часть 1) </w:t>
      </w:r>
      <w:r w:rsidRPr="00075449">
        <w:rPr>
          <w:sz w:val="24"/>
          <w:szCs w:val="24"/>
        </w:rPr>
        <w:t>[</w:t>
      </w:r>
      <w:r>
        <w:rPr>
          <w:sz w:val="24"/>
          <w:szCs w:val="24"/>
        </w:rPr>
        <w:t>Текст</w:t>
      </w:r>
      <w:r w:rsidRPr="00075449">
        <w:rPr>
          <w:sz w:val="24"/>
          <w:szCs w:val="24"/>
        </w:rPr>
        <w:t>]</w:t>
      </w:r>
      <w:r>
        <w:rPr>
          <w:sz w:val="24"/>
          <w:szCs w:val="24"/>
        </w:rPr>
        <w:t xml:space="preserve"> / О.И. Изряднова, Л.И. Лугачева, М.М. Мусатова // Вестник Новосибирского государственного университета. Серия: Социально-экономические науки. – 2014. – № 2. – С. 48-60.</w:t>
      </w:r>
    </w:p>
    <w:p w:rsidR="009F575E" w:rsidRDefault="009F575E" w:rsidP="00883E97">
      <w:pPr>
        <w:ind w:firstLine="709"/>
        <w:rPr>
          <w:sz w:val="24"/>
          <w:szCs w:val="24"/>
        </w:rPr>
      </w:pPr>
      <w:r>
        <w:rPr>
          <w:sz w:val="24"/>
          <w:szCs w:val="24"/>
        </w:rPr>
        <w:t>5. </w:t>
      </w:r>
      <w:r w:rsidRPr="00075449">
        <w:rPr>
          <w:sz w:val="24"/>
          <w:szCs w:val="24"/>
        </w:rPr>
        <w:t>Потенциал конкурентоспособного выпуска [Текст] // Эксперт. – 2017. – № 7. – С. 30-35.</w:t>
      </w:r>
    </w:p>
    <w:p w:rsidR="009F575E" w:rsidRDefault="009F575E" w:rsidP="00883E97">
      <w:pPr>
        <w:ind w:firstLine="709"/>
        <w:rPr>
          <w:sz w:val="24"/>
          <w:szCs w:val="24"/>
        </w:rPr>
      </w:pPr>
      <w:r>
        <w:rPr>
          <w:sz w:val="24"/>
          <w:szCs w:val="24"/>
        </w:rPr>
        <w:t>6. </w:t>
      </w:r>
      <w:r w:rsidRPr="002544DC">
        <w:rPr>
          <w:sz w:val="24"/>
          <w:szCs w:val="24"/>
        </w:rPr>
        <w:t>Стратегические направления социально-экономического развития Калужской области [Электронный ресурс]: официальный портал органов власти Калужской области. – Режим доступа: http://admoblkaluga.ru/upload/ mineconom/strategy/strateg/strateg_priorit_KR.pdf</w:t>
      </w:r>
    </w:p>
    <w:p w:rsidR="009F575E" w:rsidRDefault="009F575E" w:rsidP="00883E97">
      <w:pPr>
        <w:ind w:firstLine="709"/>
        <w:rPr>
          <w:sz w:val="24"/>
          <w:szCs w:val="24"/>
        </w:rPr>
      </w:pPr>
      <w:r>
        <w:rPr>
          <w:sz w:val="24"/>
          <w:szCs w:val="24"/>
        </w:rPr>
        <w:t xml:space="preserve">7. Сухарев, О.С. Экономический рост в России: роль малого бизнеса </w:t>
      </w:r>
      <w:r w:rsidRPr="00075449">
        <w:rPr>
          <w:sz w:val="24"/>
          <w:szCs w:val="24"/>
        </w:rPr>
        <w:t>[</w:t>
      </w:r>
      <w:r>
        <w:rPr>
          <w:sz w:val="24"/>
          <w:szCs w:val="24"/>
        </w:rPr>
        <w:t>Текст</w:t>
      </w:r>
      <w:r w:rsidRPr="00075449">
        <w:rPr>
          <w:sz w:val="24"/>
          <w:szCs w:val="24"/>
        </w:rPr>
        <w:t>]</w:t>
      </w:r>
      <w:r>
        <w:rPr>
          <w:sz w:val="24"/>
          <w:szCs w:val="24"/>
        </w:rPr>
        <w:t xml:space="preserve"> / О.С. Сухарев // Экономика и предпринимательство. – 2017. – № 1. – С. 372-379.</w:t>
      </w:r>
    </w:p>
    <w:sectPr w:rsidR="009F575E" w:rsidSect="005658B4">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DC" w:rsidRDefault="002544DC" w:rsidP="005658B4">
      <w:pPr>
        <w:spacing w:line="240" w:lineRule="auto"/>
      </w:pPr>
      <w:r>
        <w:separator/>
      </w:r>
    </w:p>
  </w:endnote>
  <w:endnote w:type="continuationSeparator" w:id="0">
    <w:p w:rsidR="002544DC" w:rsidRDefault="002544DC" w:rsidP="00565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2311"/>
      <w:docPartObj>
        <w:docPartGallery w:val="Page Numbers (Bottom of Page)"/>
        <w:docPartUnique/>
      </w:docPartObj>
    </w:sdtPr>
    <w:sdtEndPr/>
    <w:sdtContent>
      <w:p w:rsidR="002544DC" w:rsidRDefault="002544DC">
        <w:pPr>
          <w:pStyle w:val="a5"/>
          <w:jc w:val="center"/>
        </w:pPr>
        <w:r>
          <w:fldChar w:fldCharType="begin"/>
        </w:r>
        <w:r>
          <w:instrText>PAGE   \* MERGEFORMAT</w:instrText>
        </w:r>
        <w:r>
          <w:fldChar w:fldCharType="separate"/>
        </w:r>
        <w:r w:rsidR="0050124A">
          <w:rPr>
            <w:noProof/>
          </w:rPr>
          <w:t>2</w:t>
        </w:r>
        <w:r>
          <w:fldChar w:fldCharType="end"/>
        </w:r>
      </w:p>
    </w:sdtContent>
  </w:sdt>
  <w:p w:rsidR="002544DC" w:rsidRDefault="002544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DC" w:rsidRDefault="002544DC" w:rsidP="005658B4">
      <w:pPr>
        <w:spacing w:line="240" w:lineRule="auto"/>
      </w:pPr>
      <w:r>
        <w:separator/>
      </w:r>
    </w:p>
  </w:footnote>
  <w:footnote w:type="continuationSeparator" w:id="0">
    <w:p w:rsidR="002544DC" w:rsidRDefault="002544DC" w:rsidP="005658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B4"/>
    <w:rsid w:val="000047E5"/>
    <w:rsid w:val="00075449"/>
    <w:rsid w:val="00113244"/>
    <w:rsid w:val="001E0D98"/>
    <w:rsid w:val="002272B8"/>
    <w:rsid w:val="002544DC"/>
    <w:rsid w:val="002842BF"/>
    <w:rsid w:val="003169A0"/>
    <w:rsid w:val="00334AC7"/>
    <w:rsid w:val="003B0151"/>
    <w:rsid w:val="003D1519"/>
    <w:rsid w:val="003F3408"/>
    <w:rsid w:val="00424E4F"/>
    <w:rsid w:val="004A5BD1"/>
    <w:rsid w:val="0050124A"/>
    <w:rsid w:val="005658B4"/>
    <w:rsid w:val="005B126E"/>
    <w:rsid w:val="006B1B44"/>
    <w:rsid w:val="007358F7"/>
    <w:rsid w:val="00830F18"/>
    <w:rsid w:val="0085148A"/>
    <w:rsid w:val="00883E97"/>
    <w:rsid w:val="0099061B"/>
    <w:rsid w:val="009F575E"/>
    <w:rsid w:val="00AA4052"/>
    <w:rsid w:val="00B1168A"/>
    <w:rsid w:val="00B415CE"/>
    <w:rsid w:val="00E15026"/>
    <w:rsid w:val="00EA5359"/>
    <w:rsid w:val="00EF6729"/>
    <w:rsid w:val="00FA4F35"/>
    <w:rsid w:val="00FB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8B4"/>
    <w:pPr>
      <w:tabs>
        <w:tab w:val="center" w:pos="4677"/>
        <w:tab w:val="right" w:pos="9355"/>
      </w:tabs>
      <w:spacing w:line="240" w:lineRule="auto"/>
    </w:pPr>
  </w:style>
  <w:style w:type="character" w:customStyle="1" w:styleId="a4">
    <w:name w:val="Верхний колонтитул Знак"/>
    <w:basedOn w:val="a0"/>
    <w:link w:val="a3"/>
    <w:uiPriority w:val="99"/>
    <w:rsid w:val="005658B4"/>
  </w:style>
  <w:style w:type="paragraph" w:styleId="a5">
    <w:name w:val="footer"/>
    <w:basedOn w:val="a"/>
    <w:link w:val="a6"/>
    <w:uiPriority w:val="99"/>
    <w:unhideWhenUsed/>
    <w:rsid w:val="005658B4"/>
    <w:pPr>
      <w:tabs>
        <w:tab w:val="center" w:pos="4677"/>
        <w:tab w:val="right" w:pos="9355"/>
      </w:tabs>
      <w:spacing w:line="240" w:lineRule="auto"/>
    </w:pPr>
  </w:style>
  <w:style w:type="character" w:customStyle="1" w:styleId="a6">
    <w:name w:val="Нижний колонтитул Знак"/>
    <w:basedOn w:val="a0"/>
    <w:link w:val="a5"/>
    <w:uiPriority w:val="99"/>
    <w:rsid w:val="005658B4"/>
  </w:style>
  <w:style w:type="table" w:styleId="a7">
    <w:name w:val="Table Grid"/>
    <w:basedOn w:val="a1"/>
    <w:uiPriority w:val="59"/>
    <w:rsid w:val="005658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72B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8B4"/>
    <w:pPr>
      <w:tabs>
        <w:tab w:val="center" w:pos="4677"/>
        <w:tab w:val="right" w:pos="9355"/>
      </w:tabs>
      <w:spacing w:line="240" w:lineRule="auto"/>
    </w:pPr>
  </w:style>
  <w:style w:type="character" w:customStyle="1" w:styleId="a4">
    <w:name w:val="Верхний колонтитул Знак"/>
    <w:basedOn w:val="a0"/>
    <w:link w:val="a3"/>
    <w:uiPriority w:val="99"/>
    <w:rsid w:val="005658B4"/>
  </w:style>
  <w:style w:type="paragraph" w:styleId="a5">
    <w:name w:val="footer"/>
    <w:basedOn w:val="a"/>
    <w:link w:val="a6"/>
    <w:uiPriority w:val="99"/>
    <w:unhideWhenUsed/>
    <w:rsid w:val="005658B4"/>
    <w:pPr>
      <w:tabs>
        <w:tab w:val="center" w:pos="4677"/>
        <w:tab w:val="right" w:pos="9355"/>
      </w:tabs>
      <w:spacing w:line="240" w:lineRule="auto"/>
    </w:pPr>
  </w:style>
  <w:style w:type="character" w:customStyle="1" w:styleId="a6">
    <w:name w:val="Нижний колонтитул Знак"/>
    <w:basedOn w:val="a0"/>
    <w:link w:val="a5"/>
    <w:uiPriority w:val="99"/>
    <w:rsid w:val="005658B4"/>
  </w:style>
  <w:style w:type="table" w:styleId="a7">
    <w:name w:val="Table Grid"/>
    <w:basedOn w:val="a1"/>
    <w:uiPriority w:val="59"/>
    <w:rsid w:val="005658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72B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'Республика Карелия'!$D$37</c:f>
              <c:strCache>
                <c:ptCount val="1"/>
                <c:pt idx="0">
                  <c:v>2007 г.</c:v>
                </c:pt>
              </c:strCache>
            </c:strRef>
          </c:tx>
          <c:spPr>
            <a:pattFill prst="pct50">
              <a:fgClr>
                <a:schemeClr val="bg1">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'Республика Карелия'!$C$38:$C$43</c:f>
              <c:strCache>
                <c:ptCount val="6"/>
                <c:pt idx="0">
                  <c:v>Республика Карелия</c:v>
                </c:pt>
                <c:pt idx="1">
                  <c:v>Республика Коми</c:v>
                </c:pt>
                <c:pt idx="2">
                  <c:v>Архангельская область</c:v>
                </c:pt>
                <c:pt idx="3">
                  <c:v>Вологодская область</c:v>
                </c:pt>
                <c:pt idx="4">
                  <c:v>Мурманская область</c:v>
                </c:pt>
                <c:pt idx="5">
                  <c:v>Новгородская область</c:v>
                </c:pt>
              </c:strCache>
            </c:strRef>
          </c:cat>
          <c:val>
            <c:numRef>
              <c:f>'Республика Карелия'!$D$38:$D$43</c:f>
              <c:numCache>
                <c:formatCode>0.0</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9A3E-47F8-8ADB-47CC122B24E2}"/>
            </c:ext>
          </c:extLst>
        </c:ser>
        <c:ser>
          <c:idx val="1"/>
          <c:order val="1"/>
          <c:tx>
            <c:strRef>
              <c:f>'Республика Карелия'!$E$37</c:f>
              <c:strCache>
                <c:ptCount val="1"/>
                <c:pt idx="0">
                  <c:v>2015 г.</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'Республика Карелия'!$C$38:$C$43</c:f>
              <c:strCache>
                <c:ptCount val="6"/>
                <c:pt idx="0">
                  <c:v>Республика Карелия</c:v>
                </c:pt>
                <c:pt idx="1">
                  <c:v>Республика Коми</c:v>
                </c:pt>
                <c:pt idx="2">
                  <c:v>Архангельская область</c:v>
                </c:pt>
                <c:pt idx="3">
                  <c:v>Вологодская область</c:v>
                </c:pt>
                <c:pt idx="4">
                  <c:v>Мурманская область</c:v>
                </c:pt>
                <c:pt idx="5">
                  <c:v>Новгородская область</c:v>
                </c:pt>
              </c:strCache>
            </c:strRef>
          </c:cat>
          <c:val>
            <c:numRef>
              <c:f>'Республика Карелия'!$E$38:$E$43</c:f>
              <c:numCache>
                <c:formatCode>0.0</c:formatCode>
                <c:ptCount val="6"/>
                <c:pt idx="0">
                  <c:v>50.940434008048598</c:v>
                </c:pt>
                <c:pt idx="1">
                  <c:v>44.992918458233284</c:v>
                </c:pt>
                <c:pt idx="2">
                  <c:v>105.77855809823424</c:v>
                </c:pt>
                <c:pt idx="3">
                  <c:v>112.06992069059514</c:v>
                </c:pt>
                <c:pt idx="4">
                  <c:v>213.12073625492062</c:v>
                </c:pt>
                <c:pt idx="5">
                  <c:v>144.25641399748338</c:v>
                </c:pt>
              </c:numCache>
            </c:numRef>
          </c:val>
          <c:extLst xmlns:c16r2="http://schemas.microsoft.com/office/drawing/2015/06/chart">
            <c:ext xmlns:c16="http://schemas.microsoft.com/office/drawing/2014/chart" uri="{C3380CC4-5D6E-409C-BE32-E72D297353CC}">
              <c16:uniqueId val="{00000001-9A3E-47F8-8ADB-47CC122B24E2}"/>
            </c:ext>
          </c:extLst>
        </c:ser>
        <c:dLbls>
          <c:dLblPos val="outEnd"/>
          <c:showLegendKey val="0"/>
          <c:showVal val="1"/>
          <c:showCatName val="0"/>
          <c:showSerName val="0"/>
          <c:showPercent val="0"/>
          <c:showBubbleSize val="0"/>
        </c:dLbls>
        <c:gapWidth val="150"/>
        <c:overlap val="-50"/>
        <c:axId val="52020352"/>
        <c:axId val="52021888"/>
      </c:barChart>
      <c:catAx>
        <c:axId val="52020352"/>
        <c:scaling>
          <c:orientation val="minMax"/>
        </c:scaling>
        <c:delete val="0"/>
        <c:axPos val="b"/>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ru-RU"/>
          </a:p>
        </c:txPr>
        <c:crossAx val="52021888"/>
        <c:crosses val="autoZero"/>
        <c:auto val="1"/>
        <c:lblAlgn val="ctr"/>
        <c:lblOffset val="100"/>
        <c:noMultiLvlLbl val="0"/>
      </c:catAx>
      <c:valAx>
        <c:axId val="52021888"/>
        <c:scaling>
          <c:orientation val="minMax"/>
        </c:scaling>
        <c:delete val="0"/>
        <c:axPos val="l"/>
        <c:numFmt formatCode="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ru-RU"/>
          </a:p>
        </c:txPr>
        <c:crossAx val="52020352"/>
        <c:crosses val="autoZero"/>
        <c:crossBetween val="between"/>
      </c:valAx>
      <c:spPr>
        <a:noFill/>
        <a:ln>
          <a:noFill/>
        </a:ln>
        <a:effectLst/>
      </c:spPr>
    </c:plotArea>
    <c:legend>
      <c:legendPos val="t"/>
      <c:layout/>
      <c:overlay val="1"/>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ru-RU"/>
        </a:p>
      </c:txPr>
    </c:legend>
    <c:plotVisOnly val="1"/>
    <c:dispBlanksAs val="gap"/>
    <c:showDLblsOverMax val="0"/>
  </c:chart>
  <c:spPr>
    <a:noFill/>
    <a:ln w="9525" cap="flat" cmpd="sng" algn="ctr">
      <a:noFill/>
      <a:round/>
    </a:ln>
    <a:effectLst/>
  </c:spPr>
  <c:txPr>
    <a:bodyPr/>
    <a:lstStyle/>
    <a:p>
      <a:pPr>
        <a:defRPr sz="1000">
          <a:solidFill>
            <a:schemeClr val="tx1"/>
          </a:solidFill>
          <a:latin typeface="Arial Narrow" panose="020B060602020203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 Мельников</dc:creator>
  <cp:lastModifiedBy>Алексей Е. Мельников</cp:lastModifiedBy>
  <cp:revision>2</cp:revision>
  <dcterms:created xsi:type="dcterms:W3CDTF">2017-05-16T13:02:00Z</dcterms:created>
  <dcterms:modified xsi:type="dcterms:W3CDTF">2017-05-16T13:02:00Z</dcterms:modified>
</cp:coreProperties>
</file>