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18" w:rsidRPr="00AE2B4F" w:rsidRDefault="001C4218" w:rsidP="003E63A8">
      <w:pPr>
        <w:rPr>
          <w:b/>
        </w:rPr>
      </w:pPr>
      <w:r w:rsidRPr="001C4218">
        <w:rPr>
          <w:b/>
        </w:rPr>
        <w:t>УДК 330.341 / ББК 65.9(2Рос)-962</w:t>
      </w:r>
    </w:p>
    <w:p w:rsidR="00AE2B4F" w:rsidRPr="00AE2B4F" w:rsidRDefault="00AE2B4F" w:rsidP="003E63A8">
      <w:pPr>
        <w:jc w:val="right"/>
        <w:rPr>
          <w:b/>
        </w:rPr>
      </w:pPr>
      <w:r>
        <w:rPr>
          <w:b/>
        </w:rPr>
        <w:t>Копытова Е.Д.</w:t>
      </w:r>
    </w:p>
    <w:p w:rsidR="00AE2B4F" w:rsidRPr="00AE2B4F" w:rsidRDefault="00A65D28" w:rsidP="003E63A8">
      <w:pPr>
        <w:jc w:val="center"/>
        <w:rPr>
          <w:b/>
        </w:rPr>
      </w:pPr>
      <w:r w:rsidRPr="00A65D28">
        <w:rPr>
          <w:b/>
        </w:rPr>
        <w:t xml:space="preserve">ВКЛАД КРУПНЕЙШИХ ПРЕДПРИЯТИЙ </w:t>
      </w:r>
      <w:r>
        <w:rPr>
          <w:b/>
        </w:rPr>
        <w:t>ХИМИЧЕСКОЙ</w:t>
      </w:r>
      <w:r w:rsidRPr="00A65D28">
        <w:rPr>
          <w:b/>
        </w:rPr>
        <w:t xml:space="preserve"> </w:t>
      </w:r>
      <w:r w:rsidR="001C4218">
        <w:rPr>
          <w:b/>
        </w:rPr>
        <w:t xml:space="preserve">ОТРАСЛИ </w:t>
      </w:r>
      <w:r w:rsidRPr="00A65D28">
        <w:rPr>
          <w:b/>
        </w:rPr>
        <w:t>В РАЗВИТИЕ ТЕРРИТОРИЙ</w:t>
      </w:r>
    </w:p>
    <w:p w:rsidR="007C596E" w:rsidRDefault="007C596E" w:rsidP="003E63A8">
      <w:pPr>
        <w:ind w:firstLine="709"/>
        <w:jc w:val="both"/>
      </w:pPr>
    </w:p>
    <w:p w:rsidR="00AE2B4F" w:rsidRPr="00AE2B4F" w:rsidRDefault="003E63A8" w:rsidP="003E63A8">
      <w:pPr>
        <w:ind w:firstLine="709"/>
        <w:jc w:val="both"/>
        <w:rPr>
          <w:i/>
        </w:rPr>
      </w:pPr>
      <w:r>
        <w:rPr>
          <w:b/>
        </w:rPr>
        <w:t>Аннотация:</w:t>
      </w:r>
      <w:r w:rsidR="00AE2B4F" w:rsidRPr="00AE2B4F">
        <w:rPr>
          <w:b/>
        </w:rPr>
        <w:t xml:space="preserve"> </w:t>
      </w:r>
      <w:r w:rsidRPr="003E63A8">
        <w:rPr>
          <w:i/>
        </w:rPr>
        <w:t>В работе проведен анализ производственно-финансовых показателей деятельности крупнейших предприятий химической промышленности, выявлено снижение их вклада в развитие территорий. Предложен комплекс рекомендаций для органов власти, направленных на увеличение вклада бизнеса в региональное развитие.</w:t>
      </w:r>
    </w:p>
    <w:p w:rsidR="003E63A8" w:rsidRDefault="003E63A8" w:rsidP="003E63A8">
      <w:pPr>
        <w:ind w:firstLine="709"/>
        <w:jc w:val="both"/>
        <w:rPr>
          <w:i/>
        </w:rPr>
      </w:pPr>
      <w:r>
        <w:rPr>
          <w:b/>
        </w:rPr>
        <w:t xml:space="preserve">Ключевые слова: </w:t>
      </w:r>
      <w:r w:rsidRPr="003E63A8">
        <w:rPr>
          <w:i/>
        </w:rPr>
        <w:t>предприятия, социальная ответственность бизнеса, регион, развитие территорий, органы власти.</w:t>
      </w:r>
    </w:p>
    <w:p w:rsidR="003E63A8" w:rsidRDefault="003E63A8" w:rsidP="003E63A8">
      <w:pPr>
        <w:ind w:firstLine="709"/>
        <w:contextualSpacing/>
        <w:jc w:val="both"/>
      </w:pPr>
    </w:p>
    <w:p w:rsidR="0046102E" w:rsidRDefault="007D2298" w:rsidP="003E63A8">
      <w:pPr>
        <w:ind w:firstLine="709"/>
        <w:contextualSpacing/>
        <w:jc w:val="both"/>
      </w:pPr>
      <w:r w:rsidRPr="007D2298">
        <w:t xml:space="preserve">Одной из ключевых тенденций развития современного общества является повышение </w:t>
      </w:r>
      <w:r w:rsidR="00E05F5F">
        <w:t>вклада</w:t>
      </w:r>
      <w:r w:rsidRPr="007D2298">
        <w:t xml:space="preserve"> предпринимательских структур в выполнении функций, традиционно относящихся к компетенции органов власти. Западные страны тесно связывают социально-экономическое развитие территорий с участием в этих процессах хозяйствующих субъектов. Именно такой подход  к экономическому росту и устойчивому развитию территорий через социальную ответственность положен в основу принятой в 2000 году Лиссабонской стратегии как программного документа социально-экономического развития Евросоюза. В данной связи в  научных и общественных кругах активно ведутся дискуссии о развитии социальной ответственности бизнеса. </w:t>
      </w:r>
    </w:p>
    <w:p w:rsidR="007D2298" w:rsidRPr="00BC571B" w:rsidRDefault="007D2298" w:rsidP="007C596E">
      <w:pPr>
        <w:ind w:firstLine="709"/>
        <w:contextualSpacing/>
        <w:jc w:val="both"/>
      </w:pPr>
      <w:r w:rsidRPr="007D2298">
        <w:rPr>
          <w:rFonts w:eastAsia="Calibri"/>
          <w:lang w:eastAsia="en-US"/>
        </w:rPr>
        <w:t xml:space="preserve">В мировой практике социальная ответственность бизнеса воспринимается как ответственность организации за воздействие ее решений и деятельности на общество и окружающую среду через прозрачное и этичное поведение. Правительства многих стран занимают активную позицию в управлении </w:t>
      </w:r>
      <w:r w:rsidR="00BE5EE1">
        <w:rPr>
          <w:rFonts w:eastAsia="Calibri"/>
          <w:lang w:eastAsia="en-US"/>
        </w:rPr>
        <w:t xml:space="preserve">ею </w:t>
      </w:r>
      <w:r w:rsidRPr="007D2298">
        <w:rPr>
          <w:rFonts w:eastAsia="Calibri"/>
          <w:lang w:eastAsia="en-US"/>
        </w:rPr>
        <w:t>–</w:t>
      </w:r>
      <w:r w:rsidR="00BE5EE1">
        <w:rPr>
          <w:rFonts w:eastAsia="Calibri"/>
          <w:lang w:eastAsia="en-US"/>
        </w:rPr>
        <w:t xml:space="preserve"> </w:t>
      </w:r>
      <w:r w:rsidRPr="007D2298">
        <w:rPr>
          <w:rFonts w:eastAsia="Calibri"/>
          <w:lang w:eastAsia="en-US"/>
        </w:rPr>
        <w:t>полномочия делегированы ряду министерств и ведомств. Европейские страны применяют данные принципы при решении приоритетных задач социально-экономического развития через разработку Национальной повестки по социальной ответственности. Например, в Италии используется в качестве инструмента для продвижения инноваций, конкурентоспособности, социальных вопросов, занятости и экологической устойчивости, в Норвегии – для повышения международной конкурентоспособности, борьбы с коррупцией, улучшения состояния окружающей среды. В Великобритании учреждена должность Министра корпоративной социальной ответственности, выделены государственные ресурсы на создание Академии по СОБ и подготовку информационно-методического обеспечения</w:t>
      </w:r>
      <w:r w:rsidR="00BC571B">
        <w:rPr>
          <w:rFonts w:eastAsia="Calibri"/>
          <w:lang w:eastAsia="en-US"/>
        </w:rPr>
        <w:t xml:space="preserve"> </w:t>
      </w:r>
      <w:r w:rsidR="00BC571B" w:rsidRPr="00BC571B">
        <w:rPr>
          <w:rFonts w:eastAsia="Calibri"/>
          <w:lang w:eastAsia="en-US"/>
        </w:rPr>
        <w:t>[</w:t>
      </w:r>
      <w:r w:rsidR="00BC571B">
        <w:rPr>
          <w:rFonts w:eastAsia="Calibri"/>
          <w:lang w:eastAsia="en-US"/>
        </w:rPr>
        <w:t>1, с. 26; 7, с. 14</w:t>
      </w:r>
      <w:r w:rsidR="00BC571B" w:rsidRPr="00BC571B">
        <w:rPr>
          <w:rFonts w:eastAsia="Calibri"/>
          <w:lang w:eastAsia="en-US"/>
        </w:rPr>
        <w:t>]</w:t>
      </w:r>
      <w:r w:rsidR="00BC571B">
        <w:rPr>
          <w:rFonts w:eastAsia="Calibri"/>
          <w:lang w:eastAsia="en-US"/>
        </w:rPr>
        <w:t>.</w:t>
      </w:r>
    </w:p>
    <w:p w:rsidR="00D71587" w:rsidRPr="00BC571B" w:rsidRDefault="00D71587" w:rsidP="00D71587">
      <w:pPr>
        <w:ind w:firstLine="709"/>
        <w:jc w:val="both"/>
        <w:rPr>
          <w:rFonts w:eastAsia="Calibri"/>
          <w:lang w:eastAsia="en-US"/>
        </w:rPr>
      </w:pPr>
      <w:r w:rsidRPr="007D2298">
        <w:rPr>
          <w:rFonts w:eastAsia="Calibri"/>
          <w:lang w:eastAsia="en-US"/>
        </w:rPr>
        <w:t xml:space="preserve">Европейский Союз провёл огромную работу по продвижению в деловую практику компаний принципов социальной ответственности. В 2010 году был опубликован стандарт ISO 26000:2010 «Руководство по социальной ответственности». Кроме того существует серия стандартов </w:t>
      </w:r>
      <w:proofErr w:type="spellStart"/>
      <w:r w:rsidRPr="007D2298">
        <w:rPr>
          <w:rFonts w:eastAsia="Calibri"/>
          <w:lang w:eastAsia="en-US"/>
        </w:rPr>
        <w:t>АccountАbility</w:t>
      </w:r>
      <w:proofErr w:type="spellEnd"/>
      <w:r w:rsidRPr="007D2298">
        <w:rPr>
          <w:rFonts w:eastAsia="Calibri"/>
          <w:lang w:eastAsia="en-US"/>
        </w:rPr>
        <w:t>, разработанная британским Институтом социальной и этической отчетности, которые способствуют повышению качества нефинансовой отчетности компаний. Крупнейшей инициативой в области социальной ответственности и устойчивого развития является Глобальный договор ООН, который направлен на внедрение в деятельность организаций принципов социальной ответственности</w:t>
      </w:r>
      <w:r>
        <w:rPr>
          <w:rFonts w:eastAsia="Calibri"/>
          <w:lang w:eastAsia="en-US"/>
        </w:rPr>
        <w:t xml:space="preserve"> </w:t>
      </w:r>
      <w:r w:rsidRPr="00BC571B">
        <w:rPr>
          <w:rFonts w:eastAsia="Calibri"/>
          <w:lang w:eastAsia="en-US"/>
        </w:rPr>
        <w:t>[</w:t>
      </w:r>
      <w:r>
        <w:rPr>
          <w:rFonts w:eastAsia="Calibri"/>
          <w:lang w:eastAsia="en-US"/>
        </w:rPr>
        <w:t>3</w:t>
      </w:r>
      <w:r w:rsidRPr="00BC571B">
        <w:rPr>
          <w:rFonts w:eastAsia="Calibri"/>
          <w:lang w:eastAsia="en-US"/>
        </w:rPr>
        <w:t>]</w:t>
      </w:r>
      <w:r>
        <w:rPr>
          <w:rFonts w:eastAsia="Calibri"/>
          <w:lang w:eastAsia="en-US"/>
        </w:rPr>
        <w:t>.</w:t>
      </w:r>
    </w:p>
    <w:p w:rsidR="007D2298" w:rsidRPr="007D2298" w:rsidRDefault="007D2298" w:rsidP="007C596E">
      <w:pPr>
        <w:ind w:firstLine="709"/>
        <w:contextualSpacing/>
        <w:jc w:val="both"/>
      </w:pPr>
      <w:r w:rsidRPr="007D2298">
        <w:t xml:space="preserve">В настоящее время вопрос </w:t>
      </w:r>
      <w:r w:rsidR="00A62030" w:rsidRPr="007D2298">
        <w:t xml:space="preserve">повышения </w:t>
      </w:r>
      <w:r w:rsidR="00A62030">
        <w:t xml:space="preserve">роли </w:t>
      </w:r>
      <w:r w:rsidR="00A62030" w:rsidRPr="007D2298">
        <w:t xml:space="preserve">бизнеса в решении приоритетных задач социально-экономического развития территорий </w:t>
      </w:r>
      <w:r w:rsidRPr="007D2298">
        <w:t>приобретает всё большую актуальность</w:t>
      </w:r>
      <w:r w:rsidR="00A62030">
        <w:t xml:space="preserve"> </w:t>
      </w:r>
      <w:r w:rsidR="00A62030" w:rsidRPr="007D2298">
        <w:t>и для регионов Российской Федерации</w:t>
      </w:r>
      <w:r w:rsidRPr="007D2298">
        <w:t xml:space="preserve">, поскольку в рыночных отношениях вопросы социального развития для предпринимательских структур играют уже второстепенную роль, и при этом среди бизнес-сообщества всё ещё бытует мнение о том, что их решение является ответственностью государственных и муниципальных органов власти. </w:t>
      </w:r>
    </w:p>
    <w:p w:rsidR="007D2298" w:rsidRPr="007D2298" w:rsidRDefault="007D2298" w:rsidP="007C596E">
      <w:pPr>
        <w:ind w:firstLine="709"/>
        <w:jc w:val="both"/>
        <w:rPr>
          <w:rFonts w:eastAsia="Calibri"/>
          <w:lang w:eastAsia="en-US"/>
        </w:rPr>
      </w:pPr>
      <w:r w:rsidRPr="007D2298">
        <w:rPr>
          <w:rFonts w:eastAsia="Calibri"/>
          <w:lang w:eastAsia="en-US"/>
        </w:rPr>
        <w:t>В России также существуют документы, регламентирующие социальную ответственность предприятий. В 2004 году Российским союзом промышленников и предпринимателей разработана Социальная хартия российского бизнеса, которая в 2007 году признана национальным документом, соответствующим Глобальному договору ООН</w:t>
      </w:r>
      <w:r w:rsidR="00BC571B">
        <w:rPr>
          <w:rFonts w:eastAsia="Calibri"/>
          <w:lang w:eastAsia="en-US"/>
        </w:rPr>
        <w:t xml:space="preserve"> </w:t>
      </w:r>
      <w:r w:rsidR="00BC571B" w:rsidRPr="00BC571B">
        <w:rPr>
          <w:rFonts w:eastAsia="Calibri"/>
          <w:lang w:eastAsia="en-US"/>
        </w:rPr>
        <w:t>[</w:t>
      </w:r>
      <w:r w:rsidR="00BC571B">
        <w:rPr>
          <w:rFonts w:eastAsia="Calibri"/>
          <w:lang w:eastAsia="en-US"/>
        </w:rPr>
        <w:t>4</w:t>
      </w:r>
      <w:r w:rsidR="00BC571B" w:rsidRPr="00BC571B">
        <w:rPr>
          <w:rFonts w:eastAsia="Calibri"/>
          <w:lang w:eastAsia="en-US"/>
        </w:rPr>
        <w:t>]</w:t>
      </w:r>
      <w:r w:rsidR="00BC571B">
        <w:rPr>
          <w:rFonts w:eastAsia="Calibri"/>
          <w:lang w:eastAsia="en-US"/>
        </w:rPr>
        <w:t>.</w:t>
      </w:r>
    </w:p>
    <w:p w:rsidR="007D2298" w:rsidRPr="007D2298" w:rsidRDefault="007D2298" w:rsidP="007C596E">
      <w:pPr>
        <w:ind w:firstLine="709"/>
        <w:jc w:val="both"/>
      </w:pPr>
      <w:r w:rsidRPr="007D2298">
        <w:rPr>
          <w:rFonts w:eastAsia="Calibri"/>
          <w:lang w:eastAsia="en-US"/>
        </w:rPr>
        <w:lastRenderedPageBreak/>
        <w:t>Вместе с тем отсутствие внешнего контроля за соблюдением данных принципов, унифицированной формы отчётности и едино</w:t>
      </w:r>
      <w:r w:rsidR="00D71587">
        <w:rPr>
          <w:rFonts w:eastAsia="Calibri"/>
          <w:lang w:eastAsia="en-US"/>
        </w:rPr>
        <w:t>го</w:t>
      </w:r>
      <w:r w:rsidRPr="007D2298">
        <w:rPr>
          <w:rFonts w:eastAsia="Calibri"/>
          <w:lang w:eastAsia="en-US"/>
        </w:rPr>
        <w:t xml:space="preserve"> </w:t>
      </w:r>
      <w:r w:rsidR="00D71587">
        <w:rPr>
          <w:rFonts w:eastAsia="Calibri"/>
          <w:lang w:eastAsia="en-US"/>
        </w:rPr>
        <w:t>методического аппарата</w:t>
      </w:r>
      <w:r w:rsidRPr="007D2298">
        <w:rPr>
          <w:rFonts w:eastAsia="Calibri"/>
          <w:lang w:eastAsia="en-US"/>
        </w:rPr>
        <w:t xml:space="preserve"> оценки не способству</w:t>
      </w:r>
      <w:r w:rsidR="00763916">
        <w:rPr>
          <w:rFonts w:eastAsia="Calibri"/>
          <w:lang w:eastAsia="en-US"/>
        </w:rPr>
        <w:t>ю</w:t>
      </w:r>
      <w:r w:rsidRPr="007D2298">
        <w:rPr>
          <w:rFonts w:eastAsia="Calibri"/>
          <w:lang w:eastAsia="en-US"/>
        </w:rPr>
        <w:t xml:space="preserve">т повышению социальной ответственности российского бизнеса. Напротив, как показывает практика, </w:t>
      </w:r>
      <w:r w:rsidR="00763916">
        <w:rPr>
          <w:rFonts w:eastAsia="Calibri"/>
          <w:lang w:eastAsia="en-US"/>
        </w:rPr>
        <w:t>это привело к</w:t>
      </w:r>
      <w:r w:rsidRPr="007D2298">
        <w:t xml:space="preserve"> снижени</w:t>
      </w:r>
      <w:r w:rsidR="00763916">
        <w:t>ю</w:t>
      </w:r>
      <w:r w:rsidRPr="007D2298">
        <w:t xml:space="preserve"> вклада хозяйствующих субъектов в экономику регионов. </w:t>
      </w:r>
    </w:p>
    <w:p w:rsidR="007D2298" w:rsidRDefault="007D2298" w:rsidP="007C596E">
      <w:pPr>
        <w:ind w:firstLine="709"/>
        <w:jc w:val="both"/>
      </w:pPr>
      <w:r w:rsidRPr="007D2298">
        <w:t>По результатам опроса, который провел Институт социально-экономического развития территорий РАН, социальные программы предприятий реализуются эпизодически (41,1% респондентов) и осуществляются только крупным бизнесом (32,2%). Кроме того, значительная часть респондентов (22,2%) отмечают, что бизнес вообще не несёт социальной нагрузки (рис. 1).</w:t>
      </w:r>
      <w:r w:rsidR="00763916">
        <w:t xml:space="preserve"> </w:t>
      </w:r>
      <w:r w:rsidR="0071435F">
        <w:t>Данные тенденции</w:t>
      </w:r>
      <w:r w:rsidR="00763916">
        <w:t xml:space="preserve"> свидетельству</w:t>
      </w:r>
      <w:r w:rsidR="0071435F">
        <w:t>ю</w:t>
      </w:r>
      <w:r w:rsidR="00763916">
        <w:t>т о том, что политика органов власти по привлечению бизнеса к решению социально-экономических проблем</w:t>
      </w:r>
      <w:r w:rsidR="00AB3B75">
        <w:t xml:space="preserve"> региона не</w:t>
      </w:r>
      <w:r w:rsidR="00C73A91">
        <w:t>эффективна.</w:t>
      </w:r>
    </w:p>
    <w:p w:rsidR="000A7E83" w:rsidRPr="007D2298" w:rsidRDefault="000A7E83" w:rsidP="007C596E">
      <w:pPr>
        <w:ind w:firstLine="709"/>
        <w:jc w:val="both"/>
      </w:pPr>
    </w:p>
    <w:p w:rsidR="007D2298" w:rsidRPr="007D2298" w:rsidRDefault="000A7E83" w:rsidP="005E1D75">
      <w:pPr>
        <w:jc w:val="both"/>
      </w:pPr>
      <w:bookmarkStart w:id="0" w:name="_MON_1446968673"/>
      <w:bookmarkEnd w:id="0"/>
      <w:r>
        <w:rPr>
          <w:noProof/>
          <w:sz w:val="28"/>
          <w:szCs w:val="28"/>
        </w:rPr>
        <w:drawing>
          <wp:inline distT="0" distB="0" distL="0" distR="0">
            <wp:extent cx="5257800" cy="2505075"/>
            <wp:effectExtent l="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2298" w:rsidRPr="00AF1287" w:rsidRDefault="007D2298" w:rsidP="007D2298">
      <w:pPr>
        <w:suppressAutoHyphens/>
        <w:ind w:firstLine="567"/>
        <w:jc w:val="center"/>
      </w:pPr>
      <w:r w:rsidRPr="00AF1287">
        <w:t xml:space="preserve">Рисунок  1. Распределение ответов руководителей организаций промышленности </w:t>
      </w:r>
      <w:r w:rsidR="00E0751C" w:rsidRPr="00AF1287">
        <w:t xml:space="preserve">Вологодской области </w:t>
      </w:r>
      <w:r w:rsidRPr="00AF1287">
        <w:t>на вопрос: «Охарактеризуйте текущее состояние социальной ответственности бизнеса в</w:t>
      </w:r>
      <w:r w:rsidR="00E0751C">
        <w:t xml:space="preserve"> регионе</w:t>
      </w:r>
      <w:r w:rsidRPr="00AF1287">
        <w:t>?», % от числа ответивших</w:t>
      </w:r>
    </w:p>
    <w:p w:rsidR="007D2298" w:rsidRDefault="00B36180" w:rsidP="00B36180">
      <w:pPr>
        <w:jc w:val="both"/>
      </w:pPr>
      <w:r>
        <w:t xml:space="preserve">Источник: </w:t>
      </w:r>
      <w:r w:rsidR="00BC571B" w:rsidRPr="00BC571B">
        <w:rPr>
          <w:rFonts w:eastAsia="Calibri"/>
          <w:lang w:eastAsia="en-US"/>
        </w:rPr>
        <w:t>[</w:t>
      </w:r>
      <w:r w:rsidR="00BC571B">
        <w:rPr>
          <w:rFonts w:eastAsia="Calibri"/>
          <w:lang w:eastAsia="en-US"/>
        </w:rPr>
        <w:t>2</w:t>
      </w:r>
      <w:r w:rsidR="00BC571B" w:rsidRPr="00BC571B">
        <w:rPr>
          <w:rFonts w:eastAsia="Calibri"/>
          <w:lang w:eastAsia="en-US"/>
        </w:rPr>
        <w:t>]</w:t>
      </w:r>
      <w:r w:rsidR="00BC571B">
        <w:rPr>
          <w:rFonts w:eastAsia="Calibri"/>
          <w:lang w:eastAsia="en-US"/>
        </w:rPr>
        <w:t>.</w:t>
      </w:r>
    </w:p>
    <w:p w:rsidR="00B36180" w:rsidRPr="007D2298" w:rsidRDefault="00B36180" w:rsidP="00B36180">
      <w:pPr>
        <w:jc w:val="both"/>
      </w:pPr>
    </w:p>
    <w:p w:rsidR="00AB3B75" w:rsidRPr="007D2298" w:rsidRDefault="00C9733C" w:rsidP="00AA502F">
      <w:pPr>
        <w:ind w:firstLine="709"/>
        <w:contextualSpacing/>
        <w:jc w:val="both"/>
        <w:rPr>
          <w:bCs/>
          <w:color w:val="000000"/>
          <w:lang w:bidi="ru-RU"/>
        </w:rPr>
      </w:pPr>
      <w:r w:rsidRPr="007D2298">
        <w:rPr>
          <w:bCs/>
          <w:color w:val="000000"/>
          <w:lang w:bidi="ru-RU"/>
        </w:rPr>
        <w:t xml:space="preserve">Это подтверждается проведенной оценкой на основе усовершенствованной </w:t>
      </w:r>
      <w:r>
        <w:rPr>
          <w:bCs/>
          <w:color w:val="000000"/>
          <w:lang w:bidi="ru-RU"/>
        </w:rPr>
        <w:t xml:space="preserve">автором </w:t>
      </w:r>
      <w:r w:rsidRPr="007D2298">
        <w:rPr>
          <w:bCs/>
          <w:color w:val="000000"/>
          <w:lang w:bidi="ru-RU"/>
        </w:rPr>
        <w:t>методики определения  коэффициента влияния деятельности предприят</w:t>
      </w:r>
      <w:r>
        <w:rPr>
          <w:bCs/>
          <w:color w:val="000000"/>
          <w:lang w:bidi="ru-RU"/>
        </w:rPr>
        <w:t xml:space="preserve">ия на развитие региона </w:t>
      </w:r>
      <w:r w:rsidRPr="007D2298">
        <w:t>на примере двух крупнейших российских предприятий химической промышленности</w:t>
      </w:r>
      <w:r w:rsidRPr="007D2298">
        <w:rPr>
          <w:lang w:bidi="he-IL"/>
        </w:rPr>
        <w:t xml:space="preserve"> – акционерных обществ «Акрон» (Новгородская</w:t>
      </w:r>
      <w:r>
        <w:rPr>
          <w:lang w:bidi="he-IL"/>
        </w:rPr>
        <w:t xml:space="preserve"> область)</w:t>
      </w:r>
      <w:r w:rsidRPr="007D2298">
        <w:rPr>
          <w:lang w:bidi="he-IL"/>
        </w:rPr>
        <w:t xml:space="preserve"> и «ФосАгро» </w:t>
      </w:r>
      <w:r>
        <w:rPr>
          <w:lang w:bidi="he-IL"/>
        </w:rPr>
        <w:t>(Вологодская область</w:t>
      </w:r>
      <w:r w:rsidR="0071435F">
        <w:rPr>
          <w:lang w:bidi="he-IL"/>
        </w:rPr>
        <w:t>; рис. 2</w:t>
      </w:r>
      <w:r>
        <w:rPr>
          <w:bCs/>
          <w:color w:val="000000"/>
          <w:lang w:bidi="ru-RU"/>
        </w:rPr>
        <w:t xml:space="preserve">) </w:t>
      </w:r>
      <w:r w:rsidRPr="00BC571B">
        <w:rPr>
          <w:rFonts w:eastAsia="Calibri"/>
          <w:lang w:eastAsia="en-US"/>
        </w:rPr>
        <w:t>[</w:t>
      </w:r>
      <w:r>
        <w:rPr>
          <w:rFonts w:eastAsia="Calibri"/>
          <w:lang w:eastAsia="en-US"/>
        </w:rPr>
        <w:t>8, с. 13</w:t>
      </w:r>
      <w:r w:rsidRPr="00BC571B">
        <w:rPr>
          <w:rFonts w:eastAsia="Calibri"/>
          <w:lang w:eastAsia="en-US"/>
        </w:rPr>
        <w:t>]</w:t>
      </w:r>
      <w:r>
        <w:rPr>
          <w:rFonts w:eastAsia="Calibri"/>
          <w:lang w:eastAsia="en-US"/>
        </w:rPr>
        <w:t>.</w:t>
      </w:r>
      <w:r w:rsidR="003A0091">
        <w:rPr>
          <w:rFonts w:eastAsia="Calibri"/>
          <w:lang w:eastAsia="en-US"/>
        </w:rPr>
        <w:t xml:space="preserve"> </w:t>
      </w:r>
    </w:p>
    <w:p w:rsidR="00951312" w:rsidRDefault="00226E8C" w:rsidP="003A0091">
      <w:pPr>
        <w:widowControl w:val="0"/>
        <w:tabs>
          <w:tab w:val="left" w:pos="993"/>
        </w:tabs>
        <w:ind w:right="-144"/>
        <w:contextualSpacing/>
        <w:jc w:val="center"/>
      </w:pPr>
      <w:r>
        <w:rPr>
          <w:noProof/>
        </w:rPr>
        <w:drawing>
          <wp:inline distT="0" distB="0" distL="0" distR="0">
            <wp:extent cx="6120130" cy="1967522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D2298" w:rsidRPr="004467FD" w:rsidRDefault="007D2298" w:rsidP="003A0091">
      <w:pPr>
        <w:widowControl w:val="0"/>
        <w:tabs>
          <w:tab w:val="left" w:pos="993"/>
        </w:tabs>
        <w:ind w:right="-144"/>
        <w:contextualSpacing/>
        <w:jc w:val="center"/>
        <w:rPr>
          <w:lang w:eastAsia="ar-SA"/>
        </w:rPr>
      </w:pPr>
      <w:r w:rsidRPr="004467FD">
        <w:rPr>
          <w:lang w:eastAsia="ar-SA"/>
        </w:rPr>
        <w:t>Рисунок 2</w:t>
      </w:r>
      <w:r w:rsidR="00B36180">
        <w:rPr>
          <w:lang w:eastAsia="ar-SA"/>
        </w:rPr>
        <w:t xml:space="preserve">. </w:t>
      </w:r>
      <w:r w:rsidRPr="004467FD">
        <w:rPr>
          <w:lang w:eastAsia="ar-SA"/>
        </w:rPr>
        <w:t>Коэффициент влияния деятельности предприятий на региональное развитие</w:t>
      </w:r>
    </w:p>
    <w:p w:rsidR="007D2298" w:rsidRDefault="00B36180" w:rsidP="00B36180">
      <w:pPr>
        <w:jc w:val="both"/>
      </w:pPr>
      <w:r>
        <w:t>Источник: рассчитано автором.</w:t>
      </w:r>
    </w:p>
    <w:p w:rsidR="00AA502F" w:rsidRDefault="00AA502F" w:rsidP="00B36180">
      <w:pPr>
        <w:jc w:val="both"/>
      </w:pPr>
    </w:p>
    <w:p w:rsidR="00AA502F" w:rsidRDefault="00AA502F" w:rsidP="00AA502F">
      <w:pPr>
        <w:ind w:firstLine="709"/>
        <w:contextualSpacing/>
        <w:jc w:val="both"/>
        <w:rPr>
          <w:rFonts w:eastAsia="Calibri"/>
          <w:lang w:eastAsia="en-US"/>
        </w:rPr>
      </w:pPr>
      <w:r w:rsidRPr="007D2298">
        <w:t>Как показало исследовани</w:t>
      </w:r>
      <w:bookmarkStart w:id="1" w:name="_GoBack"/>
      <w:bookmarkEnd w:id="1"/>
      <w:r w:rsidRPr="007D2298">
        <w:t xml:space="preserve">е, они вносят </w:t>
      </w:r>
      <w:r>
        <w:t xml:space="preserve">значительный </w:t>
      </w:r>
      <w:r w:rsidRPr="007D2298">
        <w:t>вклад в улучшение качества жизни своих работников и экономики региона в целом</w:t>
      </w:r>
      <w:r>
        <w:t xml:space="preserve">. </w:t>
      </w:r>
      <w:r w:rsidRPr="005E5AA2">
        <w:t xml:space="preserve">В частности, доля валовой </w:t>
      </w:r>
      <w:r w:rsidRPr="005E5AA2">
        <w:lastRenderedPageBreak/>
        <w:t>добавленной стоимости в формировании валового регионального продукта составляет 12,3 и 3,4% у АО «Акрон» и «ФосАгро» соответственно, производят налоговые отчисления в бюджет (14,8% и 4,5% от общего объема доходов бюджета территории присутствия), осуществляют трудоустройство населения (доля занятых на предприятиях составляет 1,3% и 1,03% в обще</w:t>
      </w:r>
      <w:r>
        <w:t xml:space="preserve">й численности занятых в регионе) </w:t>
      </w:r>
      <w:r w:rsidRPr="00BC571B">
        <w:rPr>
          <w:rFonts w:eastAsia="Calibri"/>
          <w:lang w:eastAsia="en-US"/>
        </w:rPr>
        <w:t>[</w:t>
      </w:r>
      <w:r>
        <w:rPr>
          <w:rFonts w:eastAsia="Calibri"/>
          <w:lang w:eastAsia="en-US"/>
        </w:rPr>
        <w:t>6, с. 73</w:t>
      </w:r>
      <w:r w:rsidRPr="00BC571B">
        <w:rPr>
          <w:rFonts w:eastAsia="Calibri"/>
          <w:lang w:eastAsia="en-US"/>
        </w:rPr>
        <w:t>]</w:t>
      </w:r>
      <w:r>
        <w:rPr>
          <w:rFonts w:eastAsia="Calibri"/>
          <w:lang w:eastAsia="en-US"/>
        </w:rPr>
        <w:t xml:space="preserve">. </w:t>
      </w:r>
    </w:p>
    <w:p w:rsidR="00AA502F" w:rsidRPr="007D2298" w:rsidRDefault="00AA502F" w:rsidP="00AA502F">
      <w:pPr>
        <w:ind w:firstLine="709"/>
        <w:contextualSpacing/>
        <w:jc w:val="both"/>
        <w:rPr>
          <w:bCs/>
          <w:color w:val="000000"/>
          <w:lang w:bidi="ru-RU"/>
        </w:rPr>
      </w:pPr>
      <w:r w:rsidRPr="00AB3B75">
        <w:rPr>
          <w:bCs/>
          <w:color w:val="000000"/>
          <w:lang w:bidi="ru-RU"/>
        </w:rPr>
        <w:t>Однако в последние годы данные показатели снижаются.</w:t>
      </w:r>
      <w:r>
        <w:rPr>
          <w:bCs/>
          <w:color w:val="000000"/>
          <w:lang w:bidi="ru-RU"/>
        </w:rPr>
        <w:t xml:space="preserve"> Такая ситуация складывается в связи с тем, что нормативно-правовое поле позволяет хозяйствующим субъектам осуществлять свою деятельность, не принимая активного участия в развитии территорий. </w:t>
      </w:r>
      <w:r w:rsidRPr="0071435F">
        <w:rPr>
          <w:bCs/>
          <w:color w:val="000000"/>
          <w:lang w:bidi="ru-RU"/>
        </w:rPr>
        <w:t>Это повлекло за собой снижение налоговых платежей от химического производства в региональный и местный бюджеты (табл. 1).</w:t>
      </w:r>
    </w:p>
    <w:p w:rsidR="007D2298" w:rsidRPr="00E768F8" w:rsidRDefault="007D2298" w:rsidP="007D2298">
      <w:pPr>
        <w:widowControl w:val="0"/>
        <w:ind w:left="-426" w:right="-144" w:firstLine="567"/>
        <w:contextualSpacing/>
        <w:jc w:val="center"/>
        <w:rPr>
          <w:rFonts w:eastAsia="Arial Unicode MS"/>
          <w:bCs/>
        </w:rPr>
      </w:pPr>
      <w:r w:rsidRPr="00E768F8">
        <w:rPr>
          <w:lang w:eastAsia="ar-SA"/>
        </w:rPr>
        <w:t xml:space="preserve">Таблица </w:t>
      </w:r>
      <w:r w:rsidR="00E768F8" w:rsidRPr="00E768F8">
        <w:rPr>
          <w:lang w:eastAsia="ar-SA"/>
        </w:rPr>
        <w:t>1</w:t>
      </w:r>
      <w:r w:rsidRPr="00E768F8">
        <w:rPr>
          <w:lang w:eastAsia="ar-SA"/>
        </w:rPr>
        <w:t xml:space="preserve">. Поступление налогов и сборов в бюджет федеральных округов и субъектов РФ по </w:t>
      </w:r>
      <w:r w:rsidRPr="00E768F8">
        <w:rPr>
          <w:rFonts w:eastAsia="Arial Unicode MS"/>
          <w:bCs/>
        </w:rPr>
        <w:t>виду экономической деятельности «химическое производство», млн.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  <w:gridCol w:w="1025"/>
        <w:gridCol w:w="1023"/>
        <w:gridCol w:w="1023"/>
        <w:gridCol w:w="1023"/>
        <w:gridCol w:w="972"/>
        <w:gridCol w:w="974"/>
      </w:tblGrid>
      <w:tr w:rsidR="00E768F8" w:rsidRPr="007F5B43" w:rsidTr="00636161">
        <w:trPr>
          <w:trHeight w:val="77"/>
        </w:trPr>
        <w:tc>
          <w:tcPr>
            <w:tcW w:w="1936" w:type="pct"/>
            <w:vMerge w:val="restar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Регион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7F5B43">
                <w:rPr>
                  <w:lang w:eastAsia="ar-SA"/>
                </w:rPr>
                <w:t>2009 г</w:t>
              </w:r>
            </w:smartTag>
            <w:r w:rsidRPr="007F5B43">
              <w:rPr>
                <w:lang w:eastAsia="ar-SA"/>
              </w:rPr>
              <w:t>.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7F5B43">
                <w:rPr>
                  <w:lang w:eastAsia="ar-SA"/>
                </w:rPr>
                <w:t>2010 г</w:t>
              </w:r>
            </w:smartTag>
            <w:r w:rsidRPr="007F5B43">
              <w:rPr>
                <w:lang w:eastAsia="ar-SA"/>
              </w:rPr>
              <w:t>.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7F5B43">
                <w:rPr>
                  <w:lang w:eastAsia="ar-SA"/>
                </w:rPr>
                <w:t>2012 г</w:t>
              </w:r>
            </w:smartTag>
            <w:r w:rsidRPr="007F5B43">
              <w:rPr>
                <w:lang w:eastAsia="ar-SA"/>
              </w:rPr>
              <w:t>.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2014 г.</w:t>
            </w:r>
          </w:p>
        </w:tc>
        <w:tc>
          <w:tcPr>
            <w:tcW w:w="986" w:type="pct"/>
            <w:gridSpan w:val="2"/>
            <w:vAlign w:val="center"/>
          </w:tcPr>
          <w:p w:rsidR="00E768F8" w:rsidRPr="007F5B43" w:rsidRDefault="00E768F8" w:rsidP="00636161">
            <w:pPr>
              <w:contextualSpacing/>
              <w:jc w:val="center"/>
              <w:rPr>
                <w:rFonts w:eastAsia="Arial Unicode MS"/>
              </w:rPr>
            </w:pPr>
            <w:r w:rsidRPr="007F5B43">
              <w:rPr>
                <w:rFonts w:eastAsia="Arial Unicode MS"/>
              </w:rPr>
              <w:t>2014 г. в % к</w:t>
            </w:r>
          </w:p>
        </w:tc>
      </w:tr>
      <w:tr w:rsidR="00E768F8" w:rsidRPr="007F5B43" w:rsidTr="00636161">
        <w:trPr>
          <w:trHeight w:val="116"/>
        </w:trPr>
        <w:tc>
          <w:tcPr>
            <w:tcW w:w="1936" w:type="pct"/>
            <w:vMerge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20" w:type="pct"/>
            <w:vMerge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19" w:type="pct"/>
            <w:vMerge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19" w:type="pct"/>
            <w:vMerge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19" w:type="pct"/>
            <w:vMerge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93" w:type="pct"/>
            <w:vAlign w:val="center"/>
          </w:tcPr>
          <w:p w:rsidR="00E768F8" w:rsidRPr="007F5B43" w:rsidRDefault="00E768F8" w:rsidP="00636161">
            <w:pPr>
              <w:contextualSpacing/>
              <w:jc w:val="center"/>
              <w:rPr>
                <w:rFonts w:eastAsia="Arial Unicode MS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7F5B43">
                <w:rPr>
                  <w:rFonts w:eastAsia="Arial Unicode MS"/>
                </w:rPr>
                <w:t>2009 г</w:t>
              </w:r>
            </w:smartTag>
            <w:r w:rsidRPr="007F5B43">
              <w:rPr>
                <w:rFonts w:eastAsia="Arial Unicode MS"/>
              </w:rPr>
              <w:t>.</w:t>
            </w:r>
          </w:p>
        </w:tc>
        <w:tc>
          <w:tcPr>
            <w:tcW w:w="493" w:type="pct"/>
            <w:vAlign w:val="center"/>
          </w:tcPr>
          <w:p w:rsidR="00E768F8" w:rsidRPr="007F5B43" w:rsidRDefault="00E768F8" w:rsidP="00636161">
            <w:pPr>
              <w:contextualSpacing/>
              <w:jc w:val="center"/>
              <w:rPr>
                <w:rFonts w:eastAsia="Arial Unicode MS"/>
              </w:rPr>
            </w:pPr>
            <w:r w:rsidRPr="007F5B43">
              <w:rPr>
                <w:rFonts w:eastAsia="Arial Unicode MS"/>
              </w:rPr>
              <w:t>2012 г.</w:t>
            </w:r>
          </w:p>
        </w:tc>
      </w:tr>
      <w:tr w:rsidR="00E768F8" w:rsidRPr="007F5B43" w:rsidTr="00636161">
        <w:trPr>
          <w:trHeight w:val="90"/>
        </w:trPr>
        <w:tc>
          <w:tcPr>
            <w:tcW w:w="1936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both"/>
              <w:rPr>
                <w:lang w:eastAsia="ar-SA"/>
              </w:rPr>
            </w:pPr>
            <w:r w:rsidRPr="007F5B43">
              <w:rPr>
                <w:lang w:eastAsia="ar-SA"/>
              </w:rPr>
              <w:t>Российская Федерация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42648,9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57199,8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87361,0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81704,3</w:t>
            </w:r>
          </w:p>
        </w:tc>
        <w:tc>
          <w:tcPr>
            <w:tcW w:w="493" w:type="pct"/>
            <w:vAlign w:val="bottom"/>
          </w:tcPr>
          <w:p w:rsidR="00E768F8" w:rsidRPr="007F5B43" w:rsidRDefault="00E768F8" w:rsidP="00636161">
            <w:pPr>
              <w:ind w:left="-87" w:right="-144"/>
              <w:jc w:val="center"/>
            </w:pPr>
            <w:r w:rsidRPr="007F5B43">
              <w:t>191,6</w:t>
            </w:r>
          </w:p>
        </w:tc>
        <w:tc>
          <w:tcPr>
            <w:tcW w:w="493" w:type="pct"/>
          </w:tcPr>
          <w:p w:rsidR="00E768F8" w:rsidRPr="007F5B43" w:rsidRDefault="00E768F8" w:rsidP="00636161">
            <w:pPr>
              <w:ind w:left="-87" w:right="-144"/>
              <w:jc w:val="center"/>
            </w:pPr>
            <w:r w:rsidRPr="007F5B43">
              <w:t>93,5</w:t>
            </w:r>
          </w:p>
        </w:tc>
      </w:tr>
      <w:tr w:rsidR="00E768F8" w:rsidRPr="007F5B43" w:rsidTr="00636161">
        <w:trPr>
          <w:trHeight w:val="163"/>
        </w:trPr>
        <w:tc>
          <w:tcPr>
            <w:tcW w:w="1936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both"/>
              <w:rPr>
                <w:lang w:eastAsia="ar-SA"/>
              </w:rPr>
            </w:pPr>
            <w:r w:rsidRPr="007F5B43">
              <w:rPr>
                <w:lang w:eastAsia="ar-SA"/>
              </w:rPr>
              <w:t>Центральный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12242,3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15680,7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23204,5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27242,9</w:t>
            </w:r>
          </w:p>
        </w:tc>
        <w:tc>
          <w:tcPr>
            <w:tcW w:w="493" w:type="pct"/>
            <w:vAlign w:val="bottom"/>
          </w:tcPr>
          <w:p w:rsidR="00E768F8" w:rsidRPr="007F5B43" w:rsidRDefault="00E768F8" w:rsidP="00636161">
            <w:pPr>
              <w:ind w:left="-87" w:right="-144"/>
              <w:jc w:val="center"/>
            </w:pPr>
            <w:r w:rsidRPr="007F5B43">
              <w:t>222,5</w:t>
            </w:r>
          </w:p>
        </w:tc>
        <w:tc>
          <w:tcPr>
            <w:tcW w:w="493" w:type="pct"/>
          </w:tcPr>
          <w:p w:rsidR="00E768F8" w:rsidRPr="007F5B43" w:rsidRDefault="00E768F8" w:rsidP="00636161">
            <w:pPr>
              <w:ind w:left="-87" w:right="-144"/>
              <w:jc w:val="center"/>
            </w:pPr>
            <w:r w:rsidRPr="007F5B43">
              <w:t>117,4</w:t>
            </w:r>
          </w:p>
        </w:tc>
      </w:tr>
      <w:tr w:rsidR="00E768F8" w:rsidRPr="007F5B43" w:rsidTr="00636161">
        <w:trPr>
          <w:trHeight w:val="70"/>
        </w:trPr>
        <w:tc>
          <w:tcPr>
            <w:tcW w:w="1936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both"/>
              <w:rPr>
                <w:lang w:eastAsia="ar-SA"/>
              </w:rPr>
            </w:pPr>
            <w:r w:rsidRPr="007F5B43">
              <w:rPr>
                <w:lang w:eastAsia="ar-SA"/>
              </w:rPr>
              <w:t>Северо-Западный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5229,1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6514,1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10519,0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6343,0</w:t>
            </w:r>
          </w:p>
        </w:tc>
        <w:tc>
          <w:tcPr>
            <w:tcW w:w="493" w:type="pct"/>
            <w:vAlign w:val="bottom"/>
          </w:tcPr>
          <w:p w:rsidR="00E768F8" w:rsidRPr="007F5B43" w:rsidRDefault="00E768F8" w:rsidP="00636161">
            <w:pPr>
              <w:ind w:left="-87" w:right="-144"/>
              <w:jc w:val="center"/>
            </w:pPr>
            <w:r w:rsidRPr="007F5B43">
              <w:t>121,3</w:t>
            </w:r>
          </w:p>
        </w:tc>
        <w:tc>
          <w:tcPr>
            <w:tcW w:w="493" w:type="pct"/>
          </w:tcPr>
          <w:p w:rsidR="00E768F8" w:rsidRPr="007F5B43" w:rsidRDefault="00E768F8" w:rsidP="00636161">
            <w:pPr>
              <w:ind w:left="-87" w:right="-144"/>
              <w:jc w:val="center"/>
            </w:pPr>
            <w:r w:rsidRPr="007F5B43">
              <w:t>60,3</w:t>
            </w:r>
          </w:p>
        </w:tc>
      </w:tr>
      <w:tr w:rsidR="00E768F8" w:rsidRPr="007F5B43" w:rsidTr="00636161">
        <w:trPr>
          <w:trHeight w:val="70"/>
        </w:trPr>
        <w:tc>
          <w:tcPr>
            <w:tcW w:w="1936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 w:firstLine="284"/>
              <w:contextualSpacing/>
              <w:jc w:val="both"/>
              <w:rPr>
                <w:lang w:eastAsia="ar-SA"/>
              </w:rPr>
            </w:pPr>
            <w:r w:rsidRPr="007F5B43">
              <w:rPr>
                <w:lang w:eastAsia="ar-SA"/>
              </w:rPr>
              <w:t>Вологодская область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1306,0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2279,5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4836,2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1064,3</w:t>
            </w:r>
          </w:p>
        </w:tc>
        <w:tc>
          <w:tcPr>
            <w:tcW w:w="493" w:type="pct"/>
            <w:vAlign w:val="bottom"/>
          </w:tcPr>
          <w:p w:rsidR="00E768F8" w:rsidRPr="007F5B43" w:rsidRDefault="00E768F8" w:rsidP="00636161">
            <w:pPr>
              <w:ind w:left="-87" w:right="-144"/>
              <w:jc w:val="center"/>
            </w:pPr>
            <w:r w:rsidRPr="007F5B43">
              <w:t>81,5</w:t>
            </w:r>
          </w:p>
        </w:tc>
        <w:tc>
          <w:tcPr>
            <w:tcW w:w="493" w:type="pct"/>
          </w:tcPr>
          <w:p w:rsidR="00E768F8" w:rsidRPr="007F5B43" w:rsidRDefault="00E768F8" w:rsidP="00636161">
            <w:pPr>
              <w:ind w:left="-87" w:right="-144"/>
              <w:jc w:val="center"/>
            </w:pPr>
            <w:r w:rsidRPr="007F5B43">
              <w:t>22,0</w:t>
            </w:r>
          </w:p>
        </w:tc>
      </w:tr>
      <w:tr w:rsidR="00E768F8" w:rsidRPr="007F5B43" w:rsidTr="00636161">
        <w:trPr>
          <w:trHeight w:val="70"/>
        </w:trPr>
        <w:tc>
          <w:tcPr>
            <w:tcW w:w="1936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 w:firstLine="284"/>
              <w:contextualSpacing/>
              <w:jc w:val="both"/>
              <w:rPr>
                <w:lang w:eastAsia="ar-SA"/>
              </w:rPr>
            </w:pPr>
            <w:r w:rsidRPr="007F5B43">
              <w:rPr>
                <w:lang w:eastAsia="ar-SA"/>
              </w:rPr>
              <w:t>Новгородская область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1492,2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1305,4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1934,3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1487,3</w:t>
            </w:r>
          </w:p>
        </w:tc>
        <w:tc>
          <w:tcPr>
            <w:tcW w:w="493" w:type="pct"/>
            <w:vAlign w:val="bottom"/>
          </w:tcPr>
          <w:p w:rsidR="00E768F8" w:rsidRPr="007F5B43" w:rsidRDefault="00E768F8" w:rsidP="00636161">
            <w:pPr>
              <w:ind w:left="-87" w:right="-144"/>
              <w:jc w:val="center"/>
            </w:pPr>
            <w:r w:rsidRPr="007F5B43">
              <w:t>99,7</w:t>
            </w:r>
          </w:p>
        </w:tc>
        <w:tc>
          <w:tcPr>
            <w:tcW w:w="493" w:type="pct"/>
          </w:tcPr>
          <w:p w:rsidR="00E768F8" w:rsidRPr="007F5B43" w:rsidRDefault="00E768F8" w:rsidP="00636161">
            <w:pPr>
              <w:ind w:left="-87" w:right="-144"/>
              <w:jc w:val="center"/>
            </w:pPr>
            <w:r w:rsidRPr="007F5B43">
              <w:t>76,9</w:t>
            </w:r>
          </w:p>
        </w:tc>
      </w:tr>
      <w:tr w:rsidR="00E768F8" w:rsidRPr="007F5B43" w:rsidTr="00636161">
        <w:trPr>
          <w:trHeight w:val="70"/>
        </w:trPr>
        <w:tc>
          <w:tcPr>
            <w:tcW w:w="1936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both"/>
              <w:rPr>
                <w:lang w:eastAsia="ar-SA"/>
              </w:rPr>
            </w:pPr>
            <w:r w:rsidRPr="007F5B43">
              <w:rPr>
                <w:lang w:eastAsia="ar-SA"/>
              </w:rPr>
              <w:t>Северо-Кавказский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proofErr w:type="spellStart"/>
            <w:r w:rsidRPr="007F5B43">
              <w:rPr>
                <w:lang w:eastAsia="ar-SA"/>
              </w:rPr>
              <w:t>Н.д</w:t>
            </w:r>
            <w:proofErr w:type="spellEnd"/>
            <w:r w:rsidRPr="007F5B43">
              <w:rPr>
                <w:lang w:eastAsia="ar-SA"/>
              </w:rPr>
              <w:t>.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2710,5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2341,9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2471,9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E768F8" w:rsidRPr="007F5B43" w:rsidRDefault="00E768F8" w:rsidP="00636161">
            <w:pPr>
              <w:ind w:left="-87" w:right="-144"/>
              <w:jc w:val="center"/>
            </w:pPr>
            <w:r w:rsidRPr="007F5B43">
              <w:t>х</w:t>
            </w:r>
          </w:p>
        </w:tc>
        <w:tc>
          <w:tcPr>
            <w:tcW w:w="493" w:type="pct"/>
            <w:shd w:val="clear" w:color="auto" w:fill="auto"/>
          </w:tcPr>
          <w:p w:rsidR="00E768F8" w:rsidRPr="007F5B43" w:rsidRDefault="00E768F8" w:rsidP="00636161">
            <w:pPr>
              <w:ind w:left="-87" w:right="-144"/>
              <w:jc w:val="center"/>
            </w:pPr>
            <w:r w:rsidRPr="007F5B43">
              <w:t>105,6</w:t>
            </w:r>
          </w:p>
        </w:tc>
      </w:tr>
      <w:tr w:rsidR="00E768F8" w:rsidRPr="007F5B43" w:rsidTr="00636161">
        <w:trPr>
          <w:trHeight w:val="70"/>
        </w:trPr>
        <w:tc>
          <w:tcPr>
            <w:tcW w:w="1936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both"/>
              <w:rPr>
                <w:lang w:eastAsia="ar-SA"/>
              </w:rPr>
            </w:pPr>
            <w:r w:rsidRPr="007F5B43">
              <w:rPr>
                <w:lang w:eastAsia="ar-SA"/>
              </w:rPr>
              <w:t>Южный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3464,3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2422,7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2851,1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2971,7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E768F8" w:rsidRPr="007F5B43" w:rsidRDefault="00E768F8" w:rsidP="00636161">
            <w:pPr>
              <w:ind w:left="-87" w:right="-144"/>
              <w:jc w:val="center"/>
            </w:pPr>
            <w:r w:rsidRPr="007F5B43">
              <w:t>85,8</w:t>
            </w:r>
          </w:p>
        </w:tc>
        <w:tc>
          <w:tcPr>
            <w:tcW w:w="493" w:type="pct"/>
            <w:shd w:val="clear" w:color="auto" w:fill="auto"/>
          </w:tcPr>
          <w:p w:rsidR="00E768F8" w:rsidRPr="007F5B43" w:rsidRDefault="00E768F8" w:rsidP="00636161">
            <w:pPr>
              <w:ind w:left="-87" w:right="-144"/>
              <w:jc w:val="center"/>
            </w:pPr>
            <w:r w:rsidRPr="007F5B43">
              <w:t>104,2</w:t>
            </w:r>
          </w:p>
        </w:tc>
      </w:tr>
      <w:tr w:rsidR="00E768F8" w:rsidRPr="007F5B43" w:rsidTr="00636161">
        <w:trPr>
          <w:trHeight w:val="70"/>
        </w:trPr>
        <w:tc>
          <w:tcPr>
            <w:tcW w:w="1936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both"/>
              <w:rPr>
                <w:lang w:eastAsia="ar-SA"/>
              </w:rPr>
            </w:pPr>
            <w:r w:rsidRPr="007F5B43">
              <w:rPr>
                <w:lang w:eastAsia="ar-SA"/>
              </w:rPr>
              <w:t>Приволжский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15751,0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22585,6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36274,2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33356,4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E768F8" w:rsidRPr="007F5B43" w:rsidRDefault="00E768F8" w:rsidP="00636161">
            <w:pPr>
              <w:ind w:left="-87" w:right="-144"/>
              <w:jc w:val="center"/>
            </w:pPr>
            <w:r w:rsidRPr="007F5B43">
              <w:t>211,8</w:t>
            </w:r>
          </w:p>
        </w:tc>
        <w:tc>
          <w:tcPr>
            <w:tcW w:w="493" w:type="pct"/>
            <w:shd w:val="clear" w:color="auto" w:fill="auto"/>
          </w:tcPr>
          <w:p w:rsidR="00E768F8" w:rsidRPr="007F5B43" w:rsidRDefault="00E768F8" w:rsidP="00636161">
            <w:pPr>
              <w:ind w:left="-87" w:right="-144"/>
              <w:jc w:val="center"/>
            </w:pPr>
            <w:r w:rsidRPr="007F5B43">
              <w:t>92,0</w:t>
            </w:r>
          </w:p>
        </w:tc>
      </w:tr>
      <w:tr w:rsidR="00E768F8" w:rsidRPr="007F5B43" w:rsidTr="00636161">
        <w:trPr>
          <w:trHeight w:val="70"/>
        </w:trPr>
        <w:tc>
          <w:tcPr>
            <w:tcW w:w="1935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both"/>
              <w:rPr>
                <w:lang w:eastAsia="ar-SA"/>
              </w:rPr>
            </w:pPr>
            <w:r w:rsidRPr="007F5B43">
              <w:rPr>
                <w:lang w:eastAsia="ar-SA"/>
              </w:rPr>
              <w:t xml:space="preserve">Уральский 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1188,2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2041,5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4411,9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2225,8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E768F8" w:rsidRPr="007F5B43" w:rsidRDefault="00E768F8" w:rsidP="00636161">
            <w:pPr>
              <w:ind w:left="-87" w:right="-144"/>
              <w:jc w:val="center"/>
            </w:pPr>
            <w:r w:rsidRPr="007F5B43">
              <w:t>187,3</w:t>
            </w:r>
          </w:p>
        </w:tc>
        <w:tc>
          <w:tcPr>
            <w:tcW w:w="494" w:type="pct"/>
            <w:shd w:val="clear" w:color="auto" w:fill="auto"/>
          </w:tcPr>
          <w:p w:rsidR="00E768F8" w:rsidRPr="007F5B43" w:rsidRDefault="00E768F8" w:rsidP="00636161">
            <w:pPr>
              <w:ind w:left="-87" w:right="-144"/>
              <w:jc w:val="center"/>
            </w:pPr>
            <w:r w:rsidRPr="007F5B43">
              <w:t>50,4</w:t>
            </w:r>
          </w:p>
        </w:tc>
      </w:tr>
      <w:tr w:rsidR="00E768F8" w:rsidRPr="007F5B43" w:rsidTr="00636161">
        <w:trPr>
          <w:trHeight w:val="70"/>
        </w:trPr>
        <w:tc>
          <w:tcPr>
            <w:tcW w:w="1935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both"/>
              <w:rPr>
                <w:lang w:eastAsia="ar-SA"/>
              </w:rPr>
            </w:pPr>
            <w:r w:rsidRPr="007F5B43">
              <w:rPr>
                <w:lang w:eastAsia="ar-SA"/>
              </w:rPr>
              <w:t xml:space="preserve">Сибирский 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4513,7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4884,5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7113,8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6397,0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E768F8" w:rsidRPr="007F5B43" w:rsidRDefault="00E768F8" w:rsidP="00636161">
            <w:pPr>
              <w:ind w:left="-87" w:right="-144"/>
              <w:jc w:val="center"/>
            </w:pPr>
            <w:r w:rsidRPr="007F5B43">
              <w:t>141,7</w:t>
            </w:r>
          </w:p>
        </w:tc>
        <w:tc>
          <w:tcPr>
            <w:tcW w:w="494" w:type="pct"/>
            <w:shd w:val="clear" w:color="auto" w:fill="auto"/>
          </w:tcPr>
          <w:p w:rsidR="00E768F8" w:rsidRPr="007F5B43" w:rsidRDefault="00E768F8" w:rsidP="00636161">
            <w:pPr>
              <w:ind w:left="-87" w:right="-144"/>
              <w:jc w:val="center"/>
            </w:pPr>
            <w:r w:rsidRPr="007F5B43">
              <w:t>89,9</w:t>
            </w:r>
          </w:p>
        </w:tc>
      </w:tr>
      <w:tr w:rsidR="00E768F8" w:rsidRPr="007F5B43" w:rsidTr="00636161">
        <w:trPr>
          <w:trHeight w:val="70"/>
        </w:trPr>
        <w:tc>
          <w:tcPr>
            <w:tcW w:w="1935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both"/>
              <w:rPr>
                <w:lang w:eastAsia="ar-SA"/>
              </w:rPr>
            </w:pPr>
            <w:r w:rsidRPr="007F5B43">
              <w:rPr>
                <w:lang w:eastAsia="ar-SA"/>
              </w:rPr>
              <w:t xml:space="preserve">Дальневосточный 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260,4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363,3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644,6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E768F8" w:rsidRPr="007F5B43" w:rsidRDefault="00E768F8" w:rsidP="00636161">
            <w:pPr>
              <w:widowControl w:val="0"/>
              <w:ind w:right="-2"/>
              <w:contextualSpacing/>
              <w:jc w:val="center"/>
              <w:rPr>
                <w:lang w:eastAsia="ar-SA"/>
              </w:rPr>
            </w:pPr>
            <w:r w:rsidRPr="007F5B43">
              <w:rPr>
                <w:lang w:eastAsia="ar-SA"/>
              </w:rPr>
              <w:t>695,5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E768F8" w:rsidRPr="007F5B43" w:rsidRDefault="00E768F8" w:rsidP="00636161">
            <w:pPr>
              <w:ind w:left="-87" w:right="-144"/>
              <w:jc w:val="center"/>
            </w:pPr>
            <w:r w:rsidRPr="007F5B43">
              <w:t>267,1</w:t>
            </w:r>
          </w:p>
        </w:tc>
        <w:tc>
          <w:tcPr>
            <w:tcW w:w="494" w:type="pct"/>
            <w:shd w:val="clear" w:color="auto" w:fill="auto"/>
          </w:tcPr>
          <w:p w:rsidR="00E768F8" w:rsidRPr="007F5B43" w:rsidRDefault="00E768F8" w:rsidP="00636161">
            <w:pPr>
              <w:ind w:left="-87" w:right="-144"/>
              <w:jc w:val="center"/>
            </w:pPr>
            <w:r w:rsidRPr="007F5B43">
              <w:t>107,9</w:t>
            </w:r>
          </w:p>
        </w:tc>
      </w:tr>
      <w:tr w:rsidR="00E768F8" w:rsidRPr="007F5B43" w:rsidTr="00636161">
        <w:trPr>
          <w:trHeight w:val="70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E768F8" w:rsidRPr="005050EC" w:rsidRDefault="00E768F8" w:rsidP="00636161">
            <w:pPr>
              <w:jc w:val="both"/>
              <w:rPr>
                <w:sz w:val="23"/>
                <w:szCs w:val="23"/>
              </w:rPr>
            </w:pPr>
            <w:r w:rsidRPr="005050EC">
              <w:rPr>
                <w:sz w:val="23"/>
                <w:szCs w:val="23"/>
                <w:lang w:eastAsia="ar-SA"/>
              </w:rPr>
              <w:t xml:space="preserve">Источник: Отчет по форме № 1-НОМ за 2008–2014 гг. [Электронный ресурс]. – Режим доступа: </w:t>
            </w:r>
            <w:r w:rsidRPr="005050EC">
              <w:rPr>
                <w:sz w:val="23"/>
                <w:szCs w:val="23"/>
                <w:lang w:eastAsia="ar-SA"/>
              </w:rPr>
              <w:br/>
              <w:t>http://www.nalog.ru/rn35/related_activities/statistics_and_analytics/forms/</w:t>
            </w:r>
          </w:p>
        </w:tc>
      </w:tr>
    </w:tbl>
    <w:p w:rsidR="007D2298" w:rsidRPr="007D2298" w:rsidRDefault="007D2298" w:rsidP="007D2298">
      <w:pPr>
        <w:widowControl w:val="0"/>
        <w:ind w:firstLine="567"/>
        <w:contextualSpacing/>
        <w:jc w:val="both"/>
        <w:rPr>
          <w:lang w:eastAsia="ar-SA"/>
        </w:rPr>
      </w:pPr>
    </w:p>
    <w:p w:rsidR="00D4673B" w:rsidRPr="00AC426E" w:rsidRDefault="005B5945" w:rsidP="00C82B92">
      <w:pPr>
        <w:widowControl w:val="0"/>
        <w:ind w:firstLine="709"/>
        <w:contextualSpacing/>
        <w:jc w:val="both"/>
      </w:pPr>
      <w:r>
        <w:t>Несовершенство Налогового кодекса обусловило колоссальны</w:t>
      </w:r>
      <w:r w:rsidR="00D84549">
        <w:t>й объем</w:t>
      </w:r>
      <w:r>
        <w:t xml:space="preserve"> </w:t>
      </w:r>
      <w:r w:rsidR="00D84549">
        <w:t>возврата</w:t>
      </w:r>
      <w:r w:rsidR="00BD5B21">
        <w:t xml:space="preserve"> предприятиям из бюджета экспортного НДС</w:t>
      </w:r>
      <w:r w:rsidR="00261E4B">
        <w:t xml:space="preserve"> – </w:t>
      </w:r>
      <w:r w:rsidR="00D84549" w:rsidRPr="00D84549">
        <w:t>ежегодно компенсировалось</w:t>
      </w:r>
      <w:r w:rsidR="00D84549">
        <w:t xml:space="preserve"> порядка </w:t>
      </w:r>
      <w:r w:rsidR="00261E4B">
        <w:t xml:space="preserve">50-85% </w:t>
      </w:r>
      <w:r w:rsidR="00261E4B" w:rsidRPr="00261E4B">
        <w:t xml:space="preserve">фактически уплаченных налогов, что </w:t>
      </w:r>
      <w:r w:rsidR="00261E4B">
        <w:t>позволяет им уменьшать</w:t>
      </w:r>
      <w:r w:rsidR="00261E4B" w:rsidRPr="00261E4B">
        <w:t xml:space="preserve"> участие в мобилизации бюджетных доходов</w:t>
      </w:r>
      <w:r w:rsidR="00D4673B" w:rsidRPr="00C82B92">
        <w:t xml:space="preserve"> (табл. </w:t>
      </w:r>
      <w:r w:rsidR="00CB03FE">
        <w:t>2</w:t>
      </w:r>
      <w:r w:rsidR="00261E4B">
        <w:t xml:space="preserve">) </w:t>
      </w:r>
      <w:r w:rsidR="00BC571B" w:rsidRPr="00BC571B">
        <w:rPr>
          <w:rFonts w:eastAsia="Calibri"/>
          <w:lang w:eastAsia="en-US"/>
        </w:rPr>
        <w:t>[</w:t>
      </w:r>
      <w:r w:rsidR="00BC571B">
        <w:rPr>
          <w:rFonts w:eastAsia="Calibri"/>
          <w:lang w:eastAsia="en-US"/>
        </w:rPr>
        <w:t>6, с. 77</w:t>
      </w:r>
      <w:r w:rsidR="00BC571B" w:rsidRPr="00BC571B">
        <w:rPr>
          <w:rFonts w:eastAsia="Calibri"/>
          <w:lang w:eastAsia="en-US"/>
        </w:rPr>
        <w:t>]</w:t>
      </w:r>
      <w:r w:rsidR="00BC571B">
        <w:rPr>
          <w:rFonts w:eastAsia="Calibri"/>
          <w:lang w:eastAsia="en-US"/>
        </w:rPr>
        <w:t>.</w:t>
      </w:r>
    </w:p>
    <w:p w:rsidR="00D4673B" w:rsidRPr="00C82B92" w:rsidRDefault="00D4673B" w:rsidP="00C82B92">
      <w:pPr>
        <w:autoSpaceDE w:val="0"/>
        <w:autoSpaceDN w:val="0"/>
        <w:adjustRightInd w:val="0"/>
        <w:contextualSpacing/>
        <w:jc w:val="center"/>
        <w:rPr>
          <w:bCs/>
        </w:rPr>
      </w:pPr>
      <w:r w:rsidRPr="00C82B92">
        <w:t xml:space="preserve">Таблица </w:t>
      </w:r>
      <w:r w:rsidR="00C82B92" w:rsidRPr="00C82B92">
        <w:t>2</w:t>
      </w:r>
      <w:r w:rsidRPr="00C82B92">
        <w:t xml:space="preserve">. Налоги к возмещению </w:t>
      </w:r>
      <w:r w:rsidRPr="00C82B92">
        <w:rPr>
          <w:bCs/>
        </w:rPr>
        <w:t>АО «ФосАгро»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57"/>
        <w:gridCol w:w="993"/>
        <w:gridCol w:w="991"/>
        <w:gridCol w:w="999"/>
        <w:gridCol w:w="985"/>
        <w:gridCol w:w="1131"/>
        <w:gridCol w:w="1098"/>
      </w:tblGrid>
      <w:tr w:rsidR="00C82B92" w:rsidRPr="00C82B92" w:rsidTr="00C82B92">
        <w:trPr>
          <w:trHeight w:val="207"/>
        </w:trPr>
        <w:tc>
          <w:tcPr>
            <w:tcW w:w="1855" w:type="pct"/>
            <w:vMerge w:val="restart"/>
            <w:vAlign w:val="center"/>
          </w:tcPr>
          <w:p w:rsidR="00D4673B" w:rsidRPr="00C82B92" w:rsidRDefault="00D4673B" w:rsidP="00EC3FD1">
            <w:pPr>
              <w:autoSpaceDE w:val="0"/>
              <w:autoSpaceDN w:val="0"/>
              <w:adjustRightInd w:val="0"/>
              <w:contextualSpacing/>
              <w:jc w:val="center"/>
            </w:pPr>
            <w:r w:rsidRPr="00C82B92">
              <w:t>Показатель</w:t>
            </w:r>
          </w:p>
        </w:tc>
        <w:tc>
          <w:tcPr>
            <w:tcW w:w="504" w:type="pct"/>
            <w:vMerge w:val="restart"/>
            <w:vAlign w:val="center"/>
          </w:tcPr>
          <w:p w:rsidR="00D4673B" w:rsidRPr="00C82B92" w:rsidRDefault="00D4673B" w:rsidP="00EC3FD1">
            <w:pPr>
              <w:autoSpaceDE w:val="0"/>
              <w:autoSpaceDN w:val="0"/>
              <w:adjustRightInd w:val="0"/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 w:rsidRPr="00C82B92">
                <w:t>2010 г</w:t>
              </w:r>
            </w:smartTag>
            <w:r w:rsidRPr="00C82B92">
              <w:t>.</w:t>
            </w:r>
          </w:p>
        </w:tc>
        <w:tc>
          <w:tcPr>
            <w:tcW w:w="503" w:type="pct"/>
            <w:vMerge w:val="restart"/>
            <w:vAlign w:val="center"/>
          </w:tcPr>
          <w:p w:rsidR="00D4673B" w:rsidRPr="00C82B92" w:rsidRDefault="00D4673B" w:rsidP="00EC3FD1">
            <w:pPr>
              <w:autoSpaceDE w:val="0"/>
              <w:autoSpaceDN w:val="0"/>
              <w:adjustRightInd w:val="0"/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C82B92">
                <w:t>2011 г</w:t>
              </w:r>
            </w:smartTag>
            <w:r w:rsidRPr="00C82B92">
              <w:t>.</w:t>
            </w:r>
          </w:p>
        </w:tc>
        <w:tc>
          <w:tcPr>
            <w:tcW w:w="507" w:type="pct"/>
            <w:vMerge w:val="restart"/>
            <w:vAlign w:val="center"/>
          </w:tcPr>
          <w:p w:rsidR="00D4673B" w:rsidRPr="00C82B92" w:rsidRDefault="00D4673B" w:rsidP="00EC3FD1">
            <w:pPr>
              <w:contextualSpacing/>
              <w:jc w:val="center"/>
            </w:pPr>
            <w:r w:rsidRPr="00C82B92">
              <w:t>2013 г.</w:t>
            </w:r>
          </w:p>
        </w:tc>
        <w:tc>
          <w:tcPr>
            <w:tcW w:w="500" w:type="pct"/>
            <w:vMerge w:val="restart"/>
            <w:vAlign w:val="center"/>
          </w:tcPr>
          <w:p w:rsidR="00D4673B" w:rsidRPr="00C82B92" w:rsidRDefault="00D4673B" w:rsidP="00EC3FD1">
            <w:pPr>
              <w:contextualSpacing/>
              <w:jc w:val="center"/>
            </w:pPr>
            <w:r w:rsidRPr="00C82B92">
              <w:t>2014 г.</w:t>
            </w:r>
          </w:p>
        </w:tc>
        <w:tc>
          <w:tcPr>
            <w:tcW w:w="1132" w:type="pct"/>
            <w:gridSpan w:val="2"/>
            <w:vAlign w:val="center"/>
          </w:tcPr>
          <w:p w:rsidR="00D4673B" w:rsidRPr="00C82B92" w:rsidRDefault="00D4673B" w:rsidP="00EC3FD1">
            <w:pPr>
              <w:contextualSpacing/>
              <w:jc w:val="center"/>
            </w:pPr>
            <w:r w:rsidRPr="00C82B92">
              <w:t xml:space="preserve">2014 г. </w:t>
            </w:r>
            <w:r w:rsidRPr="00C82B92">
              <w:rPr>
                <w:lang w:eastAsia="ar-SA"/>
              </w:rPr>
              <w:t>в % к</w:t>
            </w:r>
          </w:p>
        </w:tc>
      </w:tr>
      <w:tr w:rsidR="00C82B92" w:rsidRPr="00C82B92" w:rsidTr="00C82B92">
        <w:trPr>
          <w:trHeight w:val="207"/>
        </w:trPr>
        <w:tc>
          <w:tcPr>
            <w:tcW w:w="1855" w:type="pct"/>
            <w:vMerge/>
            <w:vAlign w:val="center"/>
          </w:tcPr>
          <w:p w:rsidR="00D4673B" w:rsidRPr="00C82B92" w:rsidRDefault="00D4673B" w:rsidP="00EC3FD1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4" w:type="pct"/>
            <w:vMerge/>
            <w:vAlign w:val="center"/>
          </w:tcPr>
          <w:p w:rsidR="00D4673B" w:rsidRPr="00C82B92" w:rsidRDefault="00D4673B" w:rsidP="00EC3FD1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3" w:type="pct"/>
            <w:vMerge/>
            <w:vAlign w:val="center"/>
          </w:tcPr>
          <w:p w:rsidR="00D4673B" w:rsidRPr="00C82B92" w:rsidRDefault="00D4673B" w:rsidP="00EC3FD1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7" w:type="pct"/>
            <w:vMerge/>
            <w:vAlign w:val="center"/>
          </w:tcPr>
          <w:p w:rsidR="00D4673B" w:rsidRPr="00C82B92" w:rsidRDefault="00D4673B" w:rsidP="00EC3FD1">
            <w:pPr>
              <w:contextualSpacing/>
              <w:jc w:val="center"/>
            </w:pPr>
          </w:p>
        </w:tc>
        <w:tc>
          <w:tcPr>
            <w:tcW w:w="500" w:type="pct"/>
            <w:vMerge/>
            <w:vAlign w:val="center"/>
          </w:tcPr>
          <w:p w:rsidR="00D4673B" w:rsidRPr="00C82B92" w:rsidRDefault="00D4673B" w:rsidP="00EC3FD1">
            <w:pPr>
              <w:contextualSpacing/>
              <w:jc w:val="center"/>
            </w:pPr>
          </w:p>
        </w:tc>
        <w:tc>
          <w:tcPr>
            <w:tcW w:w="574" w:type="pct"/>
            <w:vAlign w:val="center"/>
          </w:tcPr>
          <w:p w:rsidR="00D4673B" w:rsidRPr="00C82B92" w:rsidRDefault="00D4673B" w:rsidP="00EC3FD1">
            <w:pPr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 w:rsidRPr="00C82B92">
                <w:t>2010 г</w:t>
              </w:r>
            </w:smartTag>
            <w:r w:rsidRPr="00C82B92">
              <w:t>.</w:t>
            </w:r>
          </w:p>
        </w:tc>
        <w:tc>
          <w:tcPr>
            <w:tcW w:w="558" w:type="pct"/>
            <w:vAlign w:val="center"/>
          </w:tcPr>
          <w:p w:rsidR="00D4673B" w:rsidRPr="00C82B92" w:rsidRDefault="00D4673B" w:rsidP="00EC3FD1">
            <w:pPr>
              <w:contextualSpacing/>
              <w:jc w:val="center"/>
            </w:pPr>
            <w:r w:rsidRPr="00C82B92">
              <w:t>2013 г.</w:t>
            </w:r>
          </w:p>
        </w:tc>
      </w:tr>
      <w:tr w:rsidR="00C82B92" w:rsidRPr="00C82B92" w:rsidTr="00C82B92">
        <w:trPr>
          <w:trHeight w:val="146"/>
        </w:trPr>
        <w:tc>
          <w:tcPr>
            <w:tcW w:w="1855" w:type="pct"/>
            <w:vAlign w:val="center"/>
          </w:tcPr>
          <w:p w:rsidR="00D4673B" w:rsidRPr="00C82B92" w:rsidRDefault="00D4673B" w:rsidP="00EC3FD1">
            <w:pPr>
              <w:autoSpaceDE w:val="0"/>
              <w:autoSpaceDN w:val="0"/>
              <w:adjustRightInd w:val="0"/>
              <w:contextualSpacing/>
            </w:pPr>
            <w:r w:rsidRPr="00C82B92">
              <w:t>Налоги к возмещению, млн. руб.</w:t>
            </w:r>
          </w:p>
        </w:tc>
        <w:tc>
          <w:tcPr>
            <w:tcW w:w="504" w:type="pct"/>
            <w:vAlign w:val="center"/>
          </w:tcPr>
          <w:p w:rsidR="00D4673B" w:rsidRPr="00C82B92" w:rsidRDefault="00D4673B" w:rsidP="00EC3FD1">
            <w:pPr>
              <w:autoSpaceDE w:val="0"/>
              <w:autoSpaceDN w:val="0"/>
              <w:adjustRightInd w:val="0"/>
              <w:contextualSpacing/>
              <w:jc w:val="center"/>
            </w:pPr>
            <w:r w:rsidRPr="00C82B92">
              <w:t>3285</w:t>
            </w:r>
          </w:p>
        </w:tc>
        <w:tc>
          <w:tcPr>
            <w:tcW w:w="503" w:type="pct"/>
            <w:vAlign w:val="center"/>
          </w:tcPr>
          <w:p w:rsidR="00D4673B" w:rsidRPr="00C82B92" w:rsidRDefault="00D4673B" w:rsidP="00EC3FD1">
            <w:pPr>
              <w:autoSpaceDE w:val="0"/>
              <w:autoSpaceDN w:val="0"/>
              <w:adjustRightInd w:val="0"/>
              <w:contextualSpacing/>
              <w:jc w:val="center"/>
            </w:pPr>
            <w:r w:rsidRPr="00C82B92">
              <w:t>4373</w:t>
            </w:r>
          </w:p>
        </w:tc>
        <w:tc>
          <w:tcPr>
            <w:tcW w:w="507" w:type="pct"/>
            <w:vAlign w:val="center"/>
          </w:tcPr>
          <w:p w:rsidR="00D4673B" w:rsidRPr="00C82B92" w:rsidRDefault="00D4673B" w:rsidP="00EC3FD1">
            <w:pPr>
              <w:autoSpaceDE w:val="0"/>
              <w:autoSpaceDN w:val="0"/>
              <w:adjustRightInd w:val="0"/>
              <w:contextualSpacing/>
              <w:jc w:val="center"/>
            </w:pPr>
            <w:r w:rsidRPr="00C82B92">
              <w:t>4617</w:t>
            </w:r>
          </w:p>
        </w:tc>
        <w:tc>
          <w:tcPr>
            <w:tcW w:w="500" w:type="pct"/>
            <w:vAlign w:val="center"/>
          </w:tcPr>
          <w:p w:rsidR="00D4673B" w:rsidRPr="00C82B92" w:rsidRDefault="00D4673B" w:rsidP="00EC3FD1">
            <w:pPr>
              <w:autoSpaceDE w:val="0"/>
              <w:autoSpaceDN w:val="0"/>
              <w:adjustRightInd w:val="0"/>
              <w:contextualSpacing/>
              <w:jc w:val="center"/>
            </w:pPr>
            <w:r w:rsidRPr="00C82B92">
              <w:t>5063</w:t>
            </w:r>
          </w:p>
        </w:tc>
        <w:tc>
          <w:tcPr>
            <w:tcW w:w="574" w:type="pct"/>
            <w:vAlign w:val="center"/>
          </w:tcPr>
          <w:p w:rsidR="00D4673B" w:rsidRPr="00C82B92" w:rsidRDefault="00D4673B" w:rsidP="00EC3FD1">
            <w:pPr>
              <w:autoSpaceDE w:val="0"/>
              <w:autoSpaceDN w:val="0"/>
              <w:adjustRightInd w:val="0"/>
              <w:contextualSpacing/>
              <w:jc w:val="center"/>
            </w:pPr>
            <w:r w:rsidRPr="00C82B92">
              <w:t>154,1</w:t>
            </w:r>
          </w:p>
        </w:tc>
        <w:tc>
          <w:tcPr>
            <w:tcW w:w="558" w:type="pct"/>
            <w:vAlign w:val="center"/>
          </w:tcPr>
          <w:p w:rsidR="00D4673B" w:rsidRPr="00C82B92" w:rsidRDefault="00D4673B" w:rsidP="00EC3FD1">
            <w:pPr>
              <w:autoSpaceDE w:val="0"/>
              <w:autoSpaceDN w:val="0"/>
              <w:adjustRightInd w:val="0"/>
              <w:contextualSpacing/>
              <w:jc w:val="center"/>
            </w:pPr>
            <w:r w:rsidRPr="00C82B92">
              <w:t>109,7</w:t>
            </w:r>
          </w:p>
        </w:tc>
      </w:tr>
      <w:tr w:rsidR="00C82B92" w:rsidRPr="00C82B92" w:rsidTr="00C82B92">
        <w:trPr>
          <w:trHeight w:val="146"/>
        </w:trPr>
        <w:tc>
          <w:tcPr>
            <w:tcW w:w="1855" w:type="pct"/>
            <w:vAlign w:val="center"/>
          </w:tcPr>
          <w:p w:rsidR="00D4673B" w:rsidRPr="00C82B92" w:rsidRDefault="00D4673B" w:rsidP="00EC3FD1">
            <w:pPr>
              <w:autoSpaceDE w:val="0"/>
              <w:autoSpaceDN w:val="0"/>
              <w:adjustRightInd w:val="0"/>
              <w:contextualSpacing/>
            </w:pPr>
            <w:r w:rsidRPr="00C82B92">
              <w:t>В % к общему объёму уплаченных налогов</w:t>
            </w:r>
          </w:p>
        </w:tc>
        <w:tc>
          <w:tcPr>
            <w:tcW w:w="504" w:type="pct"/>
            <w:vAlign w:val="center"/>
          </w:tcPr>
          <w:p w:rsidR="00D4673B" w:rsidRPr="00C82B92" w:rsidRDefault="00D4673B" w:rsidP="00EC3FD1">
            <w:pPr>
              <w:jc w:val="center"/>
            </w:pPr>
            <w:r w:rsidRPr="00C82B92">
              <w:t>67,9</w:t>
            </w:r>
          </w:p>
        </w:tc>
        <w:tc>
          <w:tcPr>
            <w:tcW w:w="503" w:type="pct"/>
            <w:vAlign w:val="center"/>
          </w:tcPr>
          <w:p w:rsidR="00D4673B" w:rsidRPr="00C82B92" w:rsidRDefault="00D4673B" w:rsidP="00EC3FD1">
            <w:pPr>
              <w:jc w:val="center"/>
            </w:pPr>
            <w:r w:rsidRPr="00C82B92">
              <w:t>65,8</w:t>
            </w:r>
          </w:p>
        </w:tc>
        <w:tc>
          <w:tcPr>
            <w:tcW w:w="507" w:type="pct"/>
            <w:vAlign w:val="center"/>
          </w:tcPr>
          <w:p w:rsidR="00D4673B" w:rsidRPr="00C82B92" w:rsidRDefault="00D4673B" w:rsidP="00EC3FD1">
            <w:pPr>
              <w:jc w:val="center"/>
            </w:pPr>
            <w:r w:rsidRPr="00C82B92">
              <w:t>50,8</w:t>
            </w:r>
          </w:p>
        </w:tc>
        <w:tc>
          <w:tcPr>
            <w:tcW w:w="500" w:type="pct"/>
            <w:vAlign w:val="center"/>
          </w:tcPr>
          <w:p w:rsidR="00D4673B" w:rsidRPr="00C82B92" w:rsidRDefault="00D4673B" w:rsidP="00EC3FD1">
            <w:pPr>
              <w:jc w:val="center"/>
            </w:pPr>
            <w:r w:rsidRPr="00C82B92">
              <w:t>85,2</w:t>
            </w:r>
          </w:p>
        </w:tc>
        <w:tc>
          <w:tcPr>
            <w:tcW w:w="574" w:type="pct"/>
            <w:vAlign w:val="center"/>
          </w:tcPr>
          <w:p w:rsidR="00D4673B" w:rsidRPr="00C82B92" w:rsidRDefault="00D4673B" w:rsidP="00EC3FD1">
            <w:pPr>
              <w:autoSpaceDE w:val="0"/>
              <w:autoSpaceDN w:val="0"/>
              <w:adjustRightInd w:val="0"/>
              <w:contextualSpacing/>
              <w:jc w:val="center"/>
            </w:pPr>
            <w:r w:rsidRPr="00C82B92">
              <w:t>125,5</w:t>
            </w:r>
          </w:p>
        </w:tc>
        <w:tc>
          <w:tcPr>
            <w:tcW w:w="558" w:type="pct"/>
            <w:vAlign w:val="center"/>
          </w:tcPr>
          <w:p w:rsidR="00D4673B" w:rsidRPr="00C82B92" w:rsidRDefault="00D4673B" w:rsidP="00EC3FD1">
            <w:pPr>
              <w:autoSpaceDE w:val="0"/>
              <w:autoSpaceDN w:val="0"/>
              <w:adjustRightInd w:val="0"/>
              <w:contextualSpacing/>
              <w:jc w:val="center"/>
            </w:pPr>
            <w:r w:rsidRPr="00C82B92">
              <w:t>167,7</w:t>
            </w:r>
          </w:p>
        </w:tc>
      </w:tr>
      <w:tr w:rsidR="00D4673B" w:rsidRPr="00C82B92" w:rsidTr="00EC3FD1">
        <w:trPr>
          <w:trHeight w:val="146"/>
        </w:trPr>
        <w:tc>
          <w:tcPr>
            <w:tcW w:w="5000" w:type="pct"/>
            <w:gridSpan w:val="7"/>
            <w:vAlign w:val="center"/>
          </w:tcPr>
          <w:p w:rsidR="00D4673B" w:rsidRPr="00C82B92" w:rsidRDefault="00D4673B" w:rsidP="00EC3FD1">
            <w:pPr>
              <w:autoSpaceDE w:val="0"/>
              <w:autoSpaceDN w:val="0"/>
              <w:adjustRightInd w:val="0"/>
              <w:contextualSpacing/>
              <w:jc w:val="both"/>
            </w:pPr>
            <w:r w:rsidRPr="00C82B92">
              <w:rPr>
                <w:bCs/>
              </w:rPr>
              <w:t>Источник: Пояснения к консолидированной отчетности ОАО «ФосАгро» за 2013 год.</w:t>
            </w:r>
          </w:p>
        </w:tc>
      </w:tr>
    </w:tbl>
    <w:p w:rsidR="00D4673B" w:rsidRPr="00AC426E" w:rsidRDefault="00D4673B" w:rsidP="005050EC">
      <w:pPr>
        <w:autoSpaceDE w:val="0"/>
        <w:autoSpaceDN w:val="0"/>
        <w:adjustRightInd w:val="0"/>
        <w:ind w:firstLine="567"/>
        <w:contextualSpacing/>
        <w:jc w:val="both"/>
        <w:rPr>
          <w:rFonts w:eastAsia="Arial Unicode MS"/>
          <w:bCs/>
        </w:rPr>
      </w:pPr>
    </w:p>
    <w:p w:rsidR="00D4673B" w:rsidRPr="00916824" w:rsidRDefault="004C7ADD" w:rsidP="00763916">
      <w:pPr>
        <w:widowControl w:val="0"/>
        <w:ind w:firstLine="709"/>
        <w:contextualSpacing/>
        <w:jc w:val="both"/>
      </w:pPr>
      <w:r>
        <w:t>Кроме того, н</w:t>
      </w:r>
      <w:r w:rsidR="004272E8" w:rsidRPr="004272E8">
        <w:t xml:space="preserve">ормы действующего закона об акционерных обществах не регулируют </w:t>
      </w:r>
      <w:r w:rsidR="00763916">
        <w:t xml:space="preserve">предельный объем </w:t>
      </w:r>
      <w:r w:rsidR="004272E8" w:rsidRPr="004272E8">
        <w:t>коммерчески</w:t>
      </w:r>
      <w:r w:rsidR="00763916">
        <w:t>х</w:t>
      </w:r>
      <w:r w:rsidR="004272E8" w:rsidRPr="004272E8">
        <w:t xml:space="preserve"> и управленчески</w:t>
      </w:r>
      <w:r w:rsidR="00763916">
        <w:t>х</w:t>
      </w:r>
      <w:r w:rsidR="004272E8" w:rsidRPr="004272E8">
        <w:t xml:space="preserve"> издерж</w:t>
      </w:r>
      <w:r w:rsidR="00763916">
        <w:t>е</w:t>
      </w:r>
      <w:r w:rsidR="004272E8" w:rsidRPr="004272E8">
        <w:t xml:space="preserve">к, </w:t>
      </w:r>
      <w:r w:rsidR="002E4437">
        <w:t xml:space="preserve">что позволяет хозяйствующим субъектам </w:t>
      </w:r>
      <w:r w:rsidR="00763916">
        <w:t xml:space="preserve">безгранично увеличивать данные расходы. </w:t>
      </w:r>
      <w:r w:rsidR="00D4673B" w:rsidRPr="00916824">
        <w:t>В частности, д</w:t>
      </w:r>
      <w:r w:rsidR="00D4673B" w:rsidRPr="00AC426E">
        <w:t>ивидендные выплаты ОАО «Акрон» в 201</w:t>
      </w:r>
      <w:r w:rsidR="00D4673B">
        <w:t>3</w:t>
      </w:r>
      <w:r w:rsidR="00D4673B" w:rsidRPr="00AC426E">
        <w:t xml:space="preserve"> году превышали налоговые платежи по налогу на прибыль на 8,7%, а в 2011 году – на 18,3% </w:t>
      </w:r>
      <w:r w:rsidR="00D4673B" w:rsidRPr="00916824">
        <w:t xml:space="preserve">(табл. </w:t>
      </w:r>
      <w:r w:rsidR="00A23549">
        <w:t>3</w:t>
      </w:r>
      <w:r w:rsidR="00D4673B" w:rsidRPr="00916824">
        <w:t>).</w:t>
      </w:r>
    </w:p>
    <w:p w:rsidR="00D4673B" w:rsidRPr="00916824" w:rsidRDefault="00D4673B" w:rsidP="00916824">
      <w:pPr>
        <w:widowControl w:val="0"/>
        <w:ind w:firstLine="709"/>
        <w:contextualSpacing/>
        <w:jc w:val="center"/>
      </w:pPr>
      <w:r w:rsidRPr="00916824">
        <w:t xml:space="preserve">Таблица </w:t>
      </w:r>
      <w:r w:rsidR="00A23549">
        <w:t>3</w:t>
      </w:r>
      <w:r w:rsidRPr="00916824">
        <w:t>. Дивиденды, выплаченные АО «Акрон» аффилированным лицам, млн. руб.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5"/>
        <w:gridCol w:w="818"/>
        <w:gridCol w:w="816"/>
        <w:gridCol w:w="818"/>
        <w:gridCol w:w="818"/>
        <w:gridCol w:w="1032"/>
        <w:gridCol w:w="841"/>
      </w:tblGrid>
      <w:tr w:rsidR="00D4673B" w:rsidRPr="00C6066F" w:rsidTr="00EC3FD1">
        <w:trPr>
          <w:trHeight w:val="225"/>
        </w:trPr>
        <w:tc>
          <w:tcPr>
            <w:tcW w:w="2334" w:type="pct"/>
            <w:vMerge w:val="restart"/>
            <w:vAlign w:val="center"/>
          </w:tcPr>
          <w:p w:rsidR="00D4673B" w:rsidRPr="00C6066F" w:rsidRDefault="00D4673B" w:rsidP="00EC3FD1">
            <w:pPr>
              <w:jc w:val="center"/>
            </w:pPr>
            <w:r w:rsidRPr="00C6066F">
              <w:t>Список</w:t>
            </w:r>
          </w:p>
        </w:tc>
        <w:tc>
          <w:tcPr>
            <w:tcW w:w="424" w:type="pct"/>
            <w:vMerge w:val="restart"/>
            <w:vAlign w:val="center"/>
          </w:tcPr>
          <w:p w:rsidR="00D4673B" w:rsidRPr="00C6066F" w:rsidRDefault="00D4673B" w:rsidP="00EC3FD1">
            <w:pPr>
              <w:keepNext/>
              <w:keepLines/>
              <w:ind w:left="15" w:firstLine="8"/>
              <w:jc w:val="center"/>
            </w:pPr>
            <w:r w:rsidRPr="00C6066F">
              <w:t>2009 г.</w:t>
            </w:r>
          </w:p>
        </w:tc>
        <w:tc>
          <w:tcPr>
            <w:tcW w:w="423" w:type="pct"/>
            <w:vMerge w:val="restart"/>
            <w:vAlign w:val="center"/>
          </w:tcPr>
          <w:p w:rsidR="00D4673B" w:rsidRPr="00C6066F" w:rsidRDefault="00D4673B" w:rsidP="00EC3FD1">
            <w:pPr>
              <w:keepNext/>
              <w:keepLines/>
              <w:ind w:left="15" w:firstLine="8"/>
              <w:jc w:val="center"/>
            </w:pPr>
            <w:r w:rsidRPr="00C6066F">
              <w:t>2010 г.</w:t>
            </w:r>
          </w:p>
        </w:tc>
        <w:tc>
          <w:tcPr>
            <w:tcW w:w="424" w:type="pct"/>
            <w:vMerge w:val="restart"/>
            <w:vAlign w:val="center"/>
          </w:tcPr>
          <w:p w:rsidR="00D4673B" w:rsidRPr="00C6066F" w:rsidRDefault="00D4673B" w:rsidP="00EC3FD1">
            <w:pPr>
              <w:keepNext/>
              <w:keepLines/>
              <w:ind w:left="15" w:firstLine="8"/>
              <w:jc w:val="center"/>
            </w:pPr>
            <w:r w:rsidRPr="00C6066F">
              <w:t>2011 г.</w:t>
            </w:r>
          </w:p>
        </w:tc>
        <w:tc>
          <w:tcPr>
            <w:tcW w:w="424" w:type="pct"/>
            <w:vMerge w:val="restart"/>
            <w:vAlign w:val="center"/>
          </w:tcPr>
          <w:p w:rsidR="00D4673B" w:rsidRPr="00C6066F" w:rsidRDefault="00D4673B" w:rsidP="00EC3FD1">
            <w:pPr>
              <w:keepNext/>
              <w:keepLines/>
              <w:ind w:left="15" w:firstLine="8"/>
              <w:jc w:val="center"/>
            </w:pPr>
            <w:r w:rsidRPr="00C6066F">
              <w:t>2013 г.</w:t>
            </w:r>
          </w:p>
        </w:tc>
        <w:tc>
          <w:tcPr>
            <w:tcW w:w="972" w:type="pct"/>
            <w:gridSpan w:val="2"/>
            <w:vAlign w:val="center"/>
          </w:tcPr>
          <w:p w:rsidR="00D4673B" w:rsidRPr="00C6066F" w:rsidRDefault="00D4673B" w:rsidP="00EC3FD1">
            <w:pPr>
              <w:keepNext/>
              <w:keepLines/>
              <w:ind w:left="15" w:firstLine="8"/>
              <w:jc w:val="center"/>
              <w:rPr>
                <w:lang w:eastAsia="ar-SA"/>
              </w:rPr>
            </w:pPr>
            <w:r w:rsidRPr="00C6066F">
              <w:rPr>
                <w:lang w:eastAsia="ar-SA"/>
              </w:rPr>
              <w:t xml:space="preserve">2013 г. в % к </w:t>
            </w:r>
          </w:p>
        </w:tc>
      </w:tr>
      <w:tr w:rsidR="00D4673B" w:rsidRPr="00C6066F" w:rsidTr="00EC3FD1">
        <w:trPr>
          <w:trHeight w:val="225"/>
        </w:trPr>
        <w:tc>
          <w:tcPr>
            <w:tcW w:w="2334" w:type="pct"/>
            <w:vMerge/>
            <w:vAlign w:val="center"/>
          </w:tcPr>
          <w:p w:rsidR="00D4673B" w:rsidRPr="00C6066F" w:rsidRDefault="00D4673B" w:rsidP="00EC3FD1">
            <w:pPr>
              <w:jc w:val="center"/>
            </w:pPr>
          </w:p>
        </w:tc>
        <w:tc>
          <w:tcPr>
            <w:tcW w:w="424" w:type="pct"/>
            <w:vMerge/>
            <w:vAlign w:val="center"/>
          </w:tcPr>
          <w:p w:rsidR="00D4673B" w:rsidRPr="00C6066F" w:rsidRDefault="00D4673B" w:rsidP="00EC3FD1">
            <w:pPr>
              <w:keepNext/>
              <w:keepLines/>
              <w:ind w:left="15" w:firstLine="8"/>
              <w:jc w:val="center"/>
            </w:pPr>
          </w:p>
        </w:tc>
        <w:tc>
          <w:tcPr>
            <w:tcW w:w="423" w:type="pct"/>
            <w:vMerge/>
            <w:vAlign w:val="center"/>
          </w:tcPr>
          <w:p w:rsidR="00D4673B" w:rsidRPr="00C6066F" w:rsidRDefault="00D4673B" w:rsidP="00EC3FD1">
            <w:pPr>
              <w:keepNext/>
              <w:keepLines/>
              <w:ind w:left="15" w:firstLine="8"/>
              <w:jc w:val="center"/>
            </w:pPr>
          </w:p>
        </w:tc>
        <w:tc>
          <w:tcPr>
            <w:tcW w:w="424" w:type="pct"/>
            <w:vMerge/>
            <w:vAlign w:val="center"/>
          </w:tcPr>
          <w:p w:rsidR="00D4673B" w:rsidRPr="00C6066F" w:rsidRDefault="00D4673B" w:rsidP="00EC3FD1">
            <w:pPr>
              <w:keepNext/>
              <w:keepLines/>
              <w:ind w:left="15" w:firstLine="8"/>
              <w:jc w:val="center"/>
            </w:pPr>
          </w:p>
        </w:tc>
        <w:tc>
          <w:tcPr>
            <w:tcW w:w="424" w:type="pct"/>
            <w:vMerge/>
            <w:vAlign w:val="center"/>
          </w:tcPr>
          <w:p w:rsidR="00D4673B" w:rsidRPr="00C6066F" w:rsidRDefault="00D4673B" w:rsidP="00EC3FD1">
            <w:pPr>
              <w:keepNext/>
              <w:keepLines/>
              <w:ind w:left="15" w:firstLine="8"/>
              <w:jc w:val="center"/>
            </w:pPr>
          </w:p>
        </w:tc>
        <w:tc>
          <w:tcPr>
            <w:tcW w:w="535" w:type="pct"/>
            <w:vAlign w:val="center"/>
          </w:tcPr>
          <w:p w:rsidR="00D4673B" w:rsidRPr="00C6066F" w:rsidRDefault="00D4673B" w:rsidP="00EC3FD1">
            <w:pPr>
              <w:keepNext/>
              <w:keepLines/>
              <w:ind w:left="15" w:firstLine="8"/>
              <w:jc w:val="center"/>
              <w:rPr>
                <w:lang w:eastAsia="ar-SA"/>
              </w:rPr>
            </w:pPr>
            <w:r w:rsidRPr="00C6066F">
              <w:rPr>
                <w:lang w:eastAsia="ar-SA"/>
              </w:rPr>
              <w:t>2009 г.</w:t>
            </w:r>
          </w:p>
        </w:tc>
        <w:tc>
          <w:tcPr>
            <w:tcW w:w="437" w:type="pct"/>
          </w:tcPr>
          <w:p w:rsidR="00D4673B" w:rsidRPr="00C6066F" w:rsidRDefault="00D4673B" w:rsidP="00EC3FD1">
            <w:pPr>
              <w:keepNext/>
              <w:keepLines/>
              <w:ind w:left="15" w:firstLine="8"/>
              <w:jc w:val="center"/>
              <w:rPr>
                <w:lang w:eastAsia="ar-SA"/>
              </w:rPr>
            </w:pPr>
            <w:r w:rsidRPr="00C6066F">
              <w:rPr>
                <w:lang w:eastAsia="ar-SA"/>
              </w:rPr>
              <w:t xml:space="preserve">2011 г. </w:t>
            </w:r>
          </w:p>
        </w:tc>
      </w:tr>
      <w:tr w:rsidR="00D4673B" w:rsidRPr="00C6066F" w:rsidTr="00EC3FD1">
        <w:trPr>
          <w:trHeight w:val="225"/>
        </w:trPr>
        <w:tc>
          <w:tcPr>
            <w:tcW w:w="2334" w:type="pct"/>
            <w:vAlign w:val="center"/>
          </w:tcPr>
          <w:p w:rsidR="00D4673B" w:rsidRPr="00C6066F" w:rsidRDefault="00D4673B" w:rsidP="00EC3FD1">
            <w:pPr>
              <w:ind w:firstLine="8"/>
              <w:jc w:val="both"/>
            </w:pPr>
            <w:r w:rsidRPr="00C6066F">
              <w:t>Всего выплачено</w:t>
            </w:r>
          </w:p>
        </w:tc>
        <w:tc>
          <w:tcPr>
            <w:tcW w:w="424" w:type="pct"/>
            <w:vAlign w:val="center"/>
          </w:tcPr>
          <w:p w:rsidR="00D4673B" w:rsidRPr="00C6066F" w:rsidRDefault="00D4673B" w:rsidP="00EC3FD1">
            <w:pPr>
              <w:ind w:firstLine="8"/>
              <w:jc w:val="center"/>
            </w:pPr>
            <w:r w:rsidRPr="00C6066F">
              <w:t>1191</w:t>
            </w:r>
          </w:p>
        </w:tc>
        <w:tc>
          <w:tcPr>
            <w:tcW w:w="423" w:type="pct"/>
            <w:vAlign w:val="center"/>
          </w:tcPr>
          <w:p w:rsidR="00D4673B" w:rsidRPr="00C6066F" w:rsidRDefault="00D4673B" w:rsidP="00EC3FD1">
            <w:pPr>
              <w:ind w:firstLine="8"/>
              <w:jc w:val="center"/>
            </w:pPr>
            <w:r w:rsidRPr="00C6066F">
              <w:t>1874</w:t>
            </w:r>
          </w:p>
        </w:tc>
        <w:tc>
          <w:tcPr>
            <w:tcW w:w="424" w:type="pct"/>
            <w:vAlign w:val="center"/>
          </w:tcPr>
          <w:p w:rsidR="00D4673B" w:rsidRPr="00C6066F" w:rsidRDefault="00D4673B" w:rsidP="00EC3FD1">
            <w:pPr>
              <w:ind w:firstLine="8"/>
              <w:jc w:val="center"/>
            </w:pPr>
            <w:r w:rsidRPr="00C6066F">
              <w:t>6148</w:t>
            </w:r>
          </w:p>
        </w:tc>
        <w:tc>
          <w:tcPr>
            <w:tcW w:w="424" w:type="pct"/>
            <w:vAlign w:val="center"/>
          </w:tcPr>
          <w:p w:rsidR="00D4673B" w:rsidRPr="00C6066F" w:rsidRDefault="00D4673B" w:rsidP="00EC3FD1">
            <w:pPr>
              <w:ind w:firstLine="8"/>
              <w:jc w:val="center"/>
            </w:pPr>
            <w:r w:rsidRPr="00C6066F">
              <w:t>4453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D4673B" w:rsidRPr="00C6066F" w:rsidRDefault="00D4673B" w:rsidP="00EC3FD1">
            <w:pPr>
              <w:ind w:firstLine="8"/>
              <w:jc w:val="center"/>
            </w:pPr>
            <w:r w:rsidRPr="00C6066F">
              <w:t>В 3,7 раз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D4673B" w:rsidRPr="00C6066F" w:rsidRDefault="00D4673B" w:rsidP="00EC3FD1">
            <w:pPr>
              <w:ind w:firstLine="8"/>
              <w:jc w:val="center"/>
            </w:pPr>
            <w:r w:rsidRPr="00C6066F">
              <w:t>72,4</w:t>
            </w:r>
          </w:p>
        </w:tc>
      </w:tr>
      <w:tr w:rsidR="00D4673B" w:rsidRPr="00C6066F" w:rsidTr="00EC3FD1">
        <w:trPr>
          <w:trHeight w:val="225"/>
        </w:trPr>
        <w:tc>
          <w:tcPr>
            <w:tcW w:w="2334" w:type="pct"/>
            <w:vAlign w:val="center"/>
          </w:tcPr>
          <w:p w:rsidR="00D4673B" w:rsidRPr="00C6066F" w:rsidRDefault="00D4673B" w:rsidP="00EC3FD1">
            <w:pPr>
              <w:ind w:firstLine="8"/>
              <w:jc w:val="both"/>
            </w:pPr>
            <w:r w:rsidRPr="00C6066F">
              <w:t>Доля дивидендов в % к чистой прибыли</w:t>
            </w:r>
          </w:p>
        </w:tc>
        <w:tc>
          <w:tcPr>
            <w:tcW w:w="424" w:type="pct"/>
            <w:vAlign w:val="center"/>
          </w:tcPr>
          <w:p w:rsidR="00D4673B" w:rsidRPr="00C6066F" w:rsidRDefault="00D4673B" w:rsidP="00EC3FD1">
            <w:pPr>
              <w:jc w:val="center"/>
            </w:pPr>
            <w:r w:rsidRPr="00C6066F">
              <w:t>16,4</w:t>
            </w:r>
          </w:p>
        </w:tc>
        <w:tc>
          <w:tcPr>
            <w:tcW w:w="423" w:type="pct"/>
            <w:vAlign w:val="center"/>
          </w:tcPr>
          <w:p w:rsidR="00D4673B" w:rsidRPr="00C6066F" w:rsidRDefault="00D4673B" w:rsidP="00EC3FD1">
            <w:pPr>
              <w:jc w:val="center"/>
            </w:pPr>
            <w:r w:rsidRPr="00C6066F">
              <w:t>29,8</w:t>
            </w:r>
          </w:p>
        </w:tc>
        <w:tc>
          <w:tcPr>
            <w:tcW w:w="424" w:type="pct"/>
            <w:vAlign w:val="center"/>
          </w:tcPr>
          <w:p w:rsidR="00D4673B" w:rsidRPr="00C6066F" w:rsidRDefault="00D4673B" w:rsidP="00EC3FD1">
            <w:pPr>
              <w:jc w:val="center"/>
            </w:pPr>
            <w:r w:rsidRPr="00C6066F">
              <w:t>30,2</w:t>
            </w:r>
          </w:p>
        </w:tc>
        <w:tc>
          <w:tcPr>
            <w:tcW w:w="424" w:type="pct"/>
            <w:vAlign w:val="center"/>
          </w:tcPr>
          <w:p w:rsidR="00D4673B" w:rsidRPr="00C6066F" w:rsidRDefault="00D4673B" w:rsidP="00EC3FD1">
            <w:pPr>
              <w:jc w:val="center"/>
            </w:pPr>
            <w:r w:rsidRPr="00C6066F">
              <w:t>30,0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D4673B" w:rsidRPr="00C6066F" w:rsidRDefault="00D4673B" w:rsidP="00EC3FD1">
            <w:pPr>
              <w:jc w:val="center"/>
            </w:pPr>
            <w:r w:rsidRPr="00C6066F">
              <w:t>182,6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D4673B" w:rsidRPr="00C6066F" w:rsidRDefault="00D4673B" w:rsidP="00EC3FD1">
            <w:pPr>
              <w:ind w:firstLine="8"/>
              <w:jc w:val="center"/>
            </w:pPr>
            <w:r w:rsidRPr="00C6066F">
              <w:t>99,1</w:t>
            </w:r>
          </w:p>
        </w:tc>
      </w:tr>
      <w:tr w:rsidR="00D4673B" w:rsidRPr="00C6066F" w:rsidTr="00EC3FD1">
        <w:trPr>
          <w:trHeight w:val="225"/>
        </w:trPr>
        <w:tc>
          <w:tcPr>
            <w:tcW w:w="2334" w:type="pct"/>
            <w:vAlign w:val="center"/>
          </w:tcPr>
          <w:p w:rsidR="00D4673B" w:rsidRPr="00C6066F" w:rsidRDefault="00D4673B" w:rsidP="00EC3FD1">
            <w:pPr>
              <w:ind w:firstLine="8"/>
              <w:jc w:val="both"/>
            </w:pPr>
            <w:r w:rsidRPr="00C6066F">
              <w:t>Доля дивидендов в % к налогу на прибыль</w:t>
            </w:r>
          </w:p>
        </w:tc>
        <w:tc>
          <w:tcPr>
            <w:tcW w:w="424" w:type="pct"/>
            <w:vAlign w:val="center"/>
          </w:tcPr>
          <w:p w:rsidR="00D4673B" w:rsidRPr="00C6066F" w:rsidRDefault="00D4673B" w:rsidP="00EC3FD1">
            <w:pPr>
              <w:jc w:val="center"/>
            </w:pPr>
            <w:r w:rsidRPr="00C6066F">
              <w:t>77,0</w:t>
            </w:r>
          </w:p>
        </w:tc>
        <w:tc>
          <w:tcPr>
            <w:tcW w:w="423" w:type="pct"/>
            <w:vAlign w:val="center"/>
          </w:tcPr>
          <w:p w:rsidR="00D4673B" w:rsidRPr="00C6066F" w:rsidRDefault="00D4673B" w:rsidP="00EC3FD1">
            <w:pPr>
              <w:jc w:val="center"/>
            </w:pPr>
            <w:r w:rsidRPr="00C6066F">
              <w:t>98,4</w:t>
            </w:r>
          </w:p>
        </w:tc>
        <w:tc>
          <w:tcPr>
            <w:tcW w:w="424" w:type="pct"/>
            <w:vAlign w:val="center"/>
          </w:tcPr>
          <w:p w:rsidR="00D4673B" w:rsidRPr="00C6066F" w:rsidRDefault="00D4673B" w:rsidP="00EC3FD1">
            <w:pPr>
              <w:jc w:val="center"/>
            </w:pPr>
            <w:r w:rsidRPr="00C6066F">
              <w:t>118,3</w:t>
            </w:r>
          </w:p>
        </w:tc>
        <w:tc>
          <w:tcPr>
            <w:tcW w:w="424" w:type="pct"/>
            <w:vAlign w:val="center"/>
          </w:tcPr>
          <w:p w:rsidR="00D4673B" w:rsidRPr="00C6066F" w:rsidRDefault="00D4673B" w:rsidP="00EC3FD1">
            <w:pPr>
              <w:jc w:val="center"/>
            </w:pPr>
            <w:r w:rsidRPr="00C6066F">
              <w:t>108,7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D4673B" w:rsidRPr="00C6066F" w:rsidRDefault="00D4673B" w:rsidP="00EC3FD1">
            <w:pPr>
              <w:jc w:val="center"/>
            </w:pPr>
            <w:r w:rsidRPr="00C6066F">
              <w:t>141,1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D4673B" w:rsidRPr="00C6066F" w:rsidRDefault="00D4673B" w:rsidP="00EC3FD1">
            <w:pPr>
              <w:ind w:firstLine="8"/>
              <w:jc w:val="center"/>
            </w:pPr>
            <w:r w:rsidRPr="00C6066F">
              <w:t>91,8</w:t>
            </w:r>
          </w:p>
        </w:tc>
      </w:tr>
      <w:tr w:rsidR="00D4673B" w:rsidRPr="00C6066F" w:rsidTr="00EC3FD1">
        <w:trPr>
          <w:trHeight w:val="225"/>
        </w:trPr>
        <w:tc>
          <w:tcPr>
            <w:tcW w:w="5000" w:type="pct"/>
            <w:gridSpan w:val="7"/>
            <w:vAlign w:val="center"/>
          </w:tcPr>
          <w:p w:rsidR="00D4673B" w:rsidRPr="00C6066F" w:rsidRDefault="00D4673B" w:rsidP="00EC3FD1">
            <w:pPr>
              <w:autoSpaceDE w:val="0"/>
              <w:autoSpaceDN w:val="0"/>
              <w:adjustRightInd w:val="0"/>
              <w:contextualSpacing/>
            </w:pPr>
            <w:r w:rsidRPr="00C6066F">
              <w:rPr>
                <w:lang w:eastAsia="ar-SA"/>
              </w:rPr>
              <w:lastRenderedPageBreak/>
              <w:t xml:space="preserve">Источник: Годовой отчет </w:t>
            </w:r>
            <w:r w:rsidRPr="00C6066F">
              <w:rPr>
                <w:bCs/>
              </w:rPr>
              <w:t>ОАО «Акрон» за 2013 год. – С. 71.</w:t>
            </w:r>
          </w:p>
        </w:tc>
      </w:tr>
    </w:tbl>
    <w:p w:rsidR="00A23549" w:rsidRPr="00BC571B" w:rsidRDefault="007D2298" w:rsidP="00A23549">
      <w:pPr>
        <w:ind w:firstLine="709"/>
        <w:jc w:val="both"/>
        <w:rPr>
          <w:spacing w:val="-4"/>
        </w:rPr>
      </w:pPr>
      <w:r w:rsidRPr="007D2298">
        <w:rPr>
          <w:lang w:eastAsia="ar-SA"/>
        </w:rPr>
        <w:t xml:space="preserve">Результаты анализа свидетельствуют о том, что в большинстве случаев </w:t>
      </w:r>
      <w:r w:rsidR="009A205F">
        <w:rPr>
          <w:lang w:eastAsia="ar-SA"/>
        </w:rPr>
        <w:t>такое</w:t>
      </w:r>
      <w:r w:rsidRPr="007D2298">
        <w:rPr>
          <w:lang w:eastAsia="ar-SA"/>
        </w:rPr>
        <w:t xml:space="preserve"> поведение предприятий по отношению к развитию территорий находится в пределах нормативно-правового поля. Без изменения законодательных основ добиться повышения вклада предприятий в региональное развитие </w:t>
      </w:r>
      <w:r w:rsidR="000551AF">
        <w:rPr>
          <w:lang w:eastAsia="ar-SA"/>
        </w:rPr>
        <w:t>проблематично</w:t>
      </w:r>
      <w:r w:rsidRPr="007D2298">
        <w:rPr>
          <w:lang w:eastAsia="ar-SA"/>
        </w:rPr>
        <w:t>.</w:t>
      </w:r>
      <w:r w:rsidR="00A23549" w:rsidRPr="00A23549">
        <w:rPr>
          <w:spacing w:val="-4"/>
        </w:rPr>
        <w:t xml:space="preserve"> Для упорядочения и продвижения идеи повышения </w:t>
      </w:r>
      <w:r w:rsidR="00A23549">
        <w:rPr>
          <w:spacing w:val="-4"/>
        </w:rPr>
        <w:t>вклада</w:t>
      </w:r>
      <w:r w:rsidR="00A23549" w:rsidRPr="00A23549">
        <w:rPr>
          <w:spacing w:val="-4"/>
        </w:rPr>
        <w:t xml:space="preserve"> бизнеса в региональном развитии следует осуществить ряд мер на разных уровнях</w:t>
      </w:r>
      <w:r w:rsidR="00BC571B">
        <w:rPr>
          <w:spacing w:val="-4"/>
          <w:vertAlign w:val="superscript"/>
        </w:rPr>
        <w:t xml:space="preserve"> </w:t>
      </w:r>
      <w:r w:rsidR="00BC571B" w:rsidRPr="00BC571B">
        <w:rPr>
          <w:rFonts w:eastAsia="Calibri"/>
          <w:lang w:eastAsia="en-US"/>
        </w:rPr>
        <w:t>[</w:t>
      </w:r>
      <w:r w:rsidR="00BC571B">
        <w:rPr>
          <w:rFonts w:eastAsia="Calibri"/>
          <w:lang w:eastAsia="en-US"/>
        </w:rPr>
        <w:t>8, с. 21</w:t>
      </w:r>
      <w:r w:rsidR="00BC571B" w:rsidRPr="00BC571B">
        <w:rPr>
          <w:rFonts w:eastAsia="Calibri"/>
          <w:lang w:eastAsia="en-US"/>
        </w:rPr>
        <w:t>]</w:t>
      </w:r>
      <w:r w:rsidR="00BC571B">
        <w:rPr>
          <w:rFonts w:eastAsia="Calibri"/>
          <w:lang w:eastAsia="en-US"/>
        </w:rPr>
        <w:t>.</w:t>
      </w:r>
    </w:p>
    <w:p w:rsidR="00A23549" w:rsidRPr="00A23549" w:rsidRDefault="00A23549" w:rsidP="00A23549">
      <w:pPr>
        <w:ind w:firstLine="709"/>
        <w:jc w:val="both"/>
        <w:rPr>
          <w:spacing w:val="-4"/>
        </w:rPr>
      </w:pPr>
      <w:r w:rsidRPr="00A23549">
        <w:rPr>
          <w:spacing w:val="-4"/>
        </w:rPr>
        <w:t xml:space="preserve">А) </w:t>
      </w:r>
      <w:r w:rsidRPr="000551AF">
        <w:rPr>
          <w:i/>
          <w:spacing w:val="-4"/>
        </w:rPr>
        <w:t>На федеральном уровне</w:t>
      </w:r>
      <w:r w:rsidRPr="00A23549">
        <w:rPr>
          <w:spacing w:val="-4"/>
        </w:rPr>
        <w:t xml:space="preserve"> необходимо совершенствовать экономическую политику в части организационно-институциональных инструментов, раскрывающих основные направления формирования социальной ответственности предприятий и призванных активизировать их участие в социально-экономическом развитии территорий. В частности</w:t>
      </w:r>
      <w:r w:rsidR="000551AF">
        <w:rPr>
          <w:spacing w:val="-4"/>
        </w:rPr>
        <w:t>,</w:t>
      </w:r>
      <w:r w:rsidRPr="00A23549">
        <w:rPr>
          <w:spacing w:val="-4"/>
        </w:rPr>
        <w:t xml:space="preserve"> создать при Правительстве РФ коллегиальный орган (комиссию) по регулированию вопросов управления социальной ответственностью бизнеса. В качестве задач такого органа следует выделить: </w:t>
      </w:r>
    </w:p>
    <w:p w:rsidR="00A23549" w:rsidRPr="00A23549" w:rsidRDefault="00A23549" w:rsidP="00A23549">
      <w:pPr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spacing w:val="-4"/>
        </w:rPr>
      </w:pPr>
      <w:r w:rsidRPr="00A23549">
        <w:rPr>
          <w:spacing w:val="-4"/>
        </w:rPr>
        <w:t>подготовка предложений по корректировке законодательства в части предоставления налоговых льгот и земельных участков хозяйствующим субъектам, которые соблюдают  принципы социальной ответственности и добровольно участвуют в решении проблем развития территорий;</w:t>
      </w:r>
    </w:p>
    <w:p w:rsidR="00A23549" w:rsidRPr="00A23549" w:rsidRDefault="00A23549" w:rsidP="00A23549">
      <w:pPr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spacing w:val="-4"/>
        </w:rPr>
      </w:pPr>
      <w:r w:rsidRPr="00A23549">
        <w:rPr>
          <w:spacing w:val="-4"/>
        </w:rPr>
        <w:t xml:space="preserve">осуществление координации деятельности органов государственного управления в регионах по внедрению и развитию социальной ответственности; </w:t>
      </w:r>
    </w:p>
    <w:p w:rsidR="00A23549" w:rsidRPr="00A23549" w:rsidRDefault="00A23549" w:rsidP="00A23549">
      <w:pPr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spacing w:val="-4"/>
        </w:rPr>
      </w:pPr>
      <w:r w:rsidRPr="00A23549">
        <w:rPr>
          <w:spacing w:val="-4"/>
        </w:rPr>
        <w:t xml:space="preserve">информирование хозяйствующих субъектов о российском и зарубежном опыте социальной активности бизнеса, создание информационных сетей и каналов, учебно-методической и консультационной базы внедрения лучших практик социально ответственного поведения; </w:t>
      </w:r>
    </w:p>
    <w:p w:rsidR="00A23549" w:rsidRPr="00A23549" w:rsidRDefault="00A23549" w:rsidP="00A23549">
      <w:pPr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spacing w:val="-4"/>
        </w:rPr>
      </w:pPr>
      <w:r w:rsidRPr="00A23549">
        <w:rPr>
          <w:spacing w:val="-4"/>
        </w:rPr>
        <w:t>разработка рекомендаций органам власти по выработке концепции социальной ответственности бизнеса, которая определяет основополагающие принципы деловой практики; в соответствии с ней хозяйствующие субъекты соблюдают нормы и правила, определенные законодательством, учитывают интересы общества, возлагая на себя ответственность за влияние их деятельности на заказчиков, поставщиков, работников, акционеров, местное сообщество и прочие заинтересованные стороны;</w:t>
      </w:r>
    </w:p>
    <w:p w:rsidR="00A23549" w:rsidRPr="00A23549" w:rsidRDefault="00A23549" w:rsidP="00A23549">
      <w:pPr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spacing w:val="-4"/>
        </w:rPr>
      </w:pPr>
      <w:r w:rsidRPr="00A23549">
        <w:rPr>
          <w:spacing w:val="-4"/>
        </w:rPr>
        <w:t xml:space="preserve">формулирование и распространение национальных приоритетов и правительственных публичных заявлений по внедрению и развитию системы ответственности бизнеса; </w:t>
      </w:r>
    </w:p>
    <w:p w:rsidR="00A23549" w:rsidRPr="00A23549" w:rsidRDefault="00A23549" w:rsidP="00A23549">
      <w:pPr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spacing w:val="-4"/>
        </w:rPr>
      </w:pPr>
      <w:r w:rsidRPr="00A23549">
        <w:rPr>
          <w:spacing w:val="-4"/>
        </w:rPr>
        <w:t>разработка и утверждение унифицированной формы социальной отчётности компаний.</w:t>
      </w:r>
    </w:p>
    <w:p w:rsidR="00A23549" w:rsidRPr="00A23549" w:rsidRDefault="00A23549" w:rsidP="00A23549">
      <w:pPr>
        <w:ind w:firstLine="709"/>
        <w:jc w:val="both"/>
        <w:rPr>
          <w:spacing w:val="-4"/>
        </w:rPr>
      </w:pPr>
      <w:r w:rsidRPr="00A23549">
        <w:rPr>
          <w:spacing w:val="-4"/>
        </w:rPr>
        <w:t xml:space="preserve">Б) К числу основных направлений работы </w:t>
      </w:r>
      <w:r w:rsidRPr="000551AF">
        <w:rPr>
          <w:i/>
          <w:spacing w:val="-4"/>
        </w:rPr>
        <w:t>региональных органов власти</w:t>
      </w:r>
      <w:r w:rsidRPr="00A23549">
        <w:rPr>
          <w:spacing w:val="-4"/>
        </w:rPr>
        <w:t xml:space="preserve"> по повышению вклада бизнеса в региональное развитие относятся:</w:t>
      </w:r>
    </w:p>
    <w:p w:rsidR="00A23549" w:rsidRPr="00A23549" w:rsidRDefault="00A23549" w:rsidP="00D26446">
      <w:pPr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spacing w:val="-4"/>
        </w:rPr>
      </w:pPr>
      <w:r w:rsidRPr="00A23549">
        <w:rPr>
          <w:spacing w:val="-4"/>
        </w:rPr>
        <w:t xml:space="preserve">подготовка предложений по корректировке регионального законодательства в части предоставления льгот хозяйствующим субъектам по уплате налога на прибыль (размер льготы определяется исходя из объема средств, которое предприятие вложило в решение задач развития территорий </w:t>
      </w:r>
      <w:proofErr w:type="spellStart"/>
      <w:r w:rsidRPr="00A23549">
        <w:rPr>
          <w:spacing w:val="-4"/>
        </w:rPr>
        <w:t>сверхзаконодательных</w:t>
      </w:r>
      <w:proofErr w:type="spellEnd"/>
      <w:r w:rsidRPr="00A23549">
        <w:rPr>
          <w:spacing w:val="-4"/>
        </w:rPr>
        <w:t xml:space="preserve"> норм);</w:t>
      </w:r>
    </w:p>
    <w:p w:rsidR="00A23549" w:rsidRPr="00A23549" w:rsidRDefault="00A23549" w:rsidP="00D26446">
      <w:pPr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spacing w:val="-4"/>
        </w:rPr>
      </w:pPr>
      <w:r w:rsidRPr="00A23549">
        <w:rPr>
          <w:spacing w:val="-4"/>
        </w:rPr>
        <w:t>разработка и реализация специальных целевых региональных программ социального инвестирования во всех областях (экономической, социальной, экологической и культурной) при условии прямого долевого участия в финансировании этих программ местных администраций и бизнес-структур;</w:t>
      </w:r>
    </w:p>
    <w:p w:rsidR="00A23549" w:rsidRPr="00A23549" w:rsidRDefault="00A23549" w:rsidP="00D26446">
      <w:pPr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spacing w:val="-4"/>
        </w:rPr>
      </w:pPr>
      <w:r w:rsidRPr="00A23549">
        <w:rPr>
          <w:spacing w:val="-4"/>
        </w:rPr>
        <w:t>обеспечение имиджевой поддержки социально ответственных организаций;</w:t>
      </w:r>
    </w:p>
    <w:p w:rsidR="00A23549" w:rsidRPr="00A23549" w:rsidRDefault="00A23549" w:rsidP="00D26446">
      <w:pPr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spacing w:val="-4"/>
        </w:rPr>
      </w:pPr>
      <w:r w:rsidRPr="00A23549">
        <w:rPr>
          <w:spacing w:val="-4"/>
        </w:rPr>
        <w:t>организация и проведение специальных форумов, конференций и семинаров с участием бизнеса и органов власти, посвящённые вопросам совместному решению социально-экономических проблем развития территории;</w:t>
      </w:r>
    </w:p>
    <w:p w:rsidR="00A23549" w:rsidRPr="00A23549" w:rsidRDefault="00A23549" w:rsidP="00D26446">
      <w:pPr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spacing w:val="-4"/>
        </w:rPr>
      </w:pPr>
      <w:r w:rsidRPr="00A23549">
        <w:rPr>
          <w:spacing w:val="-4"/>
        </w:rPr>
        <w:t>консультирование предприятий по вопросам внедрения принципов социальной ответственности бизнеса;</w:t>
      </w:r>
    </w:p>
    <w:p w:rsidR="00A23549" w:rsidRPr="00A23549" w:rsidRDefault="00A23549" w:rsidP="00D26446">
      <w:pPr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spacing w:val="-4"/>
        </w:rPr>
      </w:pPr>
      <w:r w:rsidRPr="00A23549">
        <w:rPr>
          <w:spacing w:val="-4"/>
        </w:rPr>
        <w:t>создание банка социальных проектов, планируемых к реализации на территории региона;</w:t>
      </w:r>
    </w:p>
    <w:p w:rsidR="00A23549" w:rsidRPr="00A23549" w:rsidRDefault="00A23549" w:rsidP="00D26446">
      <w:pPr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spacing w:val="-4"/>
        </w:rPr>
      </w:pPr>
      <w:r w:rsidRPr="00A23549">
        <w:rPr>
          <w:spacing w:val="-4"/>
        </w:rPr>
        <w:t>организация конкурса по результатам реализации принципов ответственной компании;</w:t>
      </w:r>
    </w:p>
    <w:p w:rsidR="00A23549" w:rsidRPr="00A23549" w:rsidRDefault="00A23549" w:rsidP="00D26446">
      <w:pPr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spacing w:val="-4"/>
        </w:rPr>
      </w:pPr>
      <w:r w:rsidRPr="00A23549">
        <w:rPr>
          <w:spacing w:val="-4"/>
        </w:rPr>
        <w:lastRenderedPageBreak/>
        <w:t>содействие распространению идеи ответственности бизнеса через систему образования, деятельность государственных и некоммерческих организаций, а также через средства массовой информации;</w:t>
      </w:r>
    </w:p>
    <w:p w:rsidR="00A23549" w:rsidRPr="00A23549" w:rsidRDefault="00A23549" w:rsidP="00D26446">
      <w:pPr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spacing w:val="-4"/>
        </w:rPr>
      </w:pPr>
      <w:r w:rsidRPr="00A23549">
        <w:rPr>
          <w:spacing w:val="-4"/>
        </w:rPr>
        <w:t>разработка и принятие региональной концепции социальной ответственности бизнеса.</w:t>
      </w:r>
    </w:p>
    <w:p w:rsidR="00A23549" w:rsidRPr="00A23549" w:rsidRDefault="00A23549" w:rsidP="00A23549">
      <w:pPr>
        <w:ind w:firstLine="709"/>
        <w:jc w:val="both"/>
        <w:rPr>
          <w:spacing w:val="-4"/>
        </w:rPr>
      </w:pPr>
      <w:r w:rsidRPr="00A23549">
        <w:rPr>
          <w:spacing w:val="-4"/>
        </w:rPr>
        <w:t xml:space="preserve">Реализация комплекса данных мероприятий на федеральном и региональном уровнях будет способствовать повышению вклада хозяйствующих субъектов в социально-экономическое развитие </w:t>
      </w:r>
      <w:r w:rsidR="000551AF">
        <w:rPr>
          <w:spacing w:val="-4"/>
        </w:rPr>
        <w:t>территорий</w:t>
      </w:r>
      <w:r w:rsidRPr="00A23549">
        <w:rPr>
          <w:spacing w:val="-4"/>
        </w:rPr>
        <w:t>.</w:t>
      </w:r>
    </w:p>
    <w:p w:rsidR="004E526B" w:rsidRPr="00FA2CDC" w:rsidRDefault="004E526B" w:rsidP="007D2298">
      <w:pPr>
        <w:ind w:firstLine="567"/>
        <w:contextualSpacing/>
        <w:jc w:val="both"/>
      </w:pPr>
    </w:p>
    <w:p w:rsidR="00833671" w:rsidRPr="000D6C49" w:rsidRDefault="000D6C49" w:rsidP="00FA2CDC">
      <w:pPr>
        <w:ind w:firstLine="709"/>
        <w:jc w:val="center"/>
        <w:rPr>
          <w:rStyle w:val="apple-style-span"/>
          <w:b/>
          <w:caps/>
          <w:shd w:val="clear" w:color="auto" w:fill="FFFFFF"/>
        </w:rPr>
      </w:pPr>
      <w:r w:rsidRPr="000D6C49">
        <w:rPr>
          <w:rStyle w:val="apple-style-span"/>
          <w:b/>
          <w:shd w:val="clear" w:color="auto" w:fill="FFFFFF"/>
        </w:rPr>
        <w:t>Библиографический список</w:t>
      </w:r>
    </w:p>
    <w:p w:rsidR="000D6C49" w:rsidRPr="00A52323" w:rsidRDefault="00C444D1" w:rsidP="00C444D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>
        <w:t xml:space="preserve">1. </w:t>
      </w:r>
      <w:proofErr w:type="spellStart"/>
      <w:r w:rsidR="000D6C49" w:rsidRPr="00A52323">
        <w:t>Либоракина</w:t>
      </w:r>
      <w:proofErr w:type="spellEnd"/>
      <w:r w:rsidR="000D6C49">
        <w:t>,</w:t>
      </w:r>
      <w:r w:rsidR="000D6C49" w:rsidRPr="00A52323">
        <w:t xml:space="preserve"> М.И. Город и бизнес: формирование социальной ответств</w:t>
      </w:r>
      <w:r w:rsidR="000D6C49">
        <w:t>енности российских компаний. М.</w:t>
      </w:r>
      <w:r w:rsidR="000D6C49" w:rsidRPr="00A52323">
        <w:t>, 2003.</w:t>
      </w:r>
      <w:r w:rsidR="000D6C49">
        <w:t xml:space="preserve"> – С. 26.</w:t>
      </w:r>
    </w:p>
    <w:p w:rsidR="000D6C49" w:rsidRDefault="00C444D1" w:rsidP="00C444D1">
      <w:pPr>
        <w:tabs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0D6C49" w:rsidRPr="00A62030">
        <w:rPr>
          <w:rFonts w:eastAsia="Calibri"/>
          <w:lang w:eastAsia="en-US"/>
        </w:rPr>
        <w:t xml:space="preserve">Мониторинг функционирования и развития промышленности региона [Текст]: заключительный отчет о НИР / </w:t>
      </w:r>
      <w:proofErr w:type="spellStart"/>
      <w:r w:rsidR="000D6C49" w:rsidRPr="00A62030">
        <w:rPr>
          <w:rFonts w:eastAsia="Calibri"/>
          <w:lang w:eastAsia="en-US"/>
        </w:rPr>
        <w:t>исполн</w:t>
      </w:r>
      <w:proofErr w:type="spellEnd"/>
      <w:r w:rsidR="000D6C49" w:rsidRPr="00A62030">
        <w:rPr>
          <w:rFonts w:eastAsia="Calibri"/>
          <w:lang w:eastAsia="en-US"/>
        </w:rPr>
        <w:t>. Е.В. Лукин, А.О. Ларионов. – Вологда, 2014. – 103 c.</w:t>
      </w:r>
    </w:p>
    <w:p w:rsidR="000D6C49" w:rsidRPr="00A52323" w:rsidRDefault="00C444D1" w:rsidP="00C444D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>
        <w:t xml:space="preserve">3. </w:t>
      </w:r>
      <w:r w:rsidR="000D6C49" w:rsidRPr="00A52323">
        <w:t>Официальный сайт Международной организации по стандартизации (ИСО)  URL:  http://www.iso.org/iso/ru/home/standards/iso26000.htm?= (дата обращения: 04.03.2016)</w:t>
      </w:r>
    </w:p>
    <w:p w:rsidR="000D6C49" w:rsidRDefault="00C444D1" w:rsidP="00C444D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>
        <w:t xml:space="preserve">4. </w:t>
      </w:r>
      <w:r w:rsidR="000D6C49" w:rsidRPr="00A52323">
        <w:t>Официальный сайт Российского союза промышленников и предпринимателей (РСПП) URL:  http://рспп.рф/simplepage/472 (дата обращения: 04.03.2016)</w:t>
      </w:r>
    </w:p>
    <w:p w:rsidR="000D6C49" w:rsidRPr="00A52323" w:rsidRDefault="00C444D1" w:rsidP="00C444D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>
        <w:t xml:space="preserve">5. </w:t>
      </w:r>
      <w:r w:rsidR="000D6C49" w:rsidRPr="00A52323">
        <w:t>Официальный сайт Федеральной налоговой службы РФ. URL:   http://www.nalog.ru/ (дата обращения: 27.12.2015)</w:t>
      </w:r>
    </w:p>
    <w:p w:rsidR="000D6C49" w:rsidRPr="00A52323" w:rsidRDefault="00C444D1" w:rsidP="00C444D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>
        <w:t xml:space="preserve">6. </w:t>
      </w:r>
      <w:r w:rsidR="000D6C49" w:rsidRPr="00A52323">
        <w:t>Разгулина</w:t>
      </w:r>
      <w:r w:rsidR="000D6C49">
        <w:t>,</w:t>
      </w:r>
      <w:r w:rsidR="000D6C49" w:rsidRPr="00A52323">
        <w:t xml:space="preserve"> Е.Д. Влияние деятельности крупнейших предприятий химической промышленности  на развитие экономики регионов</w:t>
      </w:r>
      <w:r w:rsidR="000D6C49">
        <w:t xml:space="preserve"> / Е.Д. Разгулина</w:t>
      </w:r>
      <w:r w:rsidR="000D6C49" w:rsidRPr="00A52323">
        <w:t xml:space="preserve"> // Проблемы развития территорий. </w:t>
      </w:r>
      <w:r w:rsidR="000D6C49">
        <w:t xml:space="preserve">– </w:t>
      </w:r>
      <w:r w:rsidR="000D6C49" w:rsidRPr="00A52323">
        <w:t xml:space="preserve">2015. </w:t>
      </w:r>
      <w:r w:rsidR="000D6C49">
        <w:t xml:space="preserve">– </w:t>
      </w:r>
      <w:r w:rsidR="000D6C49" w:rsidRPr="00A52323">
        <w:t xml:space="preserve">№ 6 (80). </w:t>
      </w:r>
      <w:r w:rsidR="000D6C49">
        <w:t>–</w:t>
      </w:r>
      <w:r w:rsidR="000D6C49" w:rsidRPr="00A52323">
        <w:t>С. 73.</w:t>
      </w:r>
    </w:p>
    <w:p w:rsidR="000D6C49" w:rsidRPr="00A52323" w:rsidRDefault="00C444D1" w:rsidP="00C444D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>
        <w:t xml:space="preserve">7. </w:t>
      </w:r>
      <w:r w:rsidR="000D6C49" w:rsidRPr="00A52323">
        <w:t>Социальная ответственность биз</w:t>
      </w:r>
      <w:r w:rsidR="000D6C49">
        <w:t>неса – опыт России и Запада. М.</w:t>
      </w:r>
      <w:r w:rsidR="000D6C49" w:rsidRPr="00A52323">
        <w:t>, 2004.</w:t>
      </w:r>
      <w:r w:rsidR="000D6C49">
        <w:t xml:space="preserve"> – С. 14.</w:t>
      </w:r>
    </w:p>
    <w:p w:rsidR="000D6C49" w:rsidRPr="000D6C49" w:rsidRDefault="00C444D1" w:rsidP="00C444D1">
      <w:pPr>
        <w:tabs>
          <w:tab w:val="left" w:pos="993"/>
        </w:tabs>
        <w:ind w:firstLine="709"/>
        <w:jc w:val="both"/>
      </w:pPr>
      <w:r>
        <w:t xml:space="preserve">8. </w:t>
      </w:r>
      <w:r w:rsidR="000D6C49" w:rsidRPr="000D6C49">
        <w:t xml:space="preserve">Ускова, Т.В. Социальная ответственность бизнеса: проблемы и тенденции [Текст]: препринт / Т.В. Ускова, Е.Д. Разгулина. – Вологда: ИСЭРТ РАН, 2015. – </w:t>
      </w:r>
      <w:r w:rsidR="000D6C49">
        <w:t>С. 13.</w:t>
      </w:r>
    </w:p>
    <w:p w:rsidR="00D26446" w:rsidRDefault="00D26446" w:rsidP="00D26446">
      <w:pPr>
        <w:tabs>
          <w:tab w:val="left" w:pos="993"/>
        </w:tabs>
        <w:contextualSpacing/>
        <w:jc w:val="both"/>
        <w:rPr>
          <w:rFonts w:eastAsia="Calibri"/>
          <w:lang w:eastAsia="en-US"/>
        </w:rPr>
      </w:pPr>
    </w:p>
    <w:p w:rsidR="00BC571B" w:rsidRPr="00BC571B" w:rsidRDefault="00BC571B" w:rsidP="00BC571B">
      <w:pPr>
        <w:ind w:firstLine="709"/>
        <w:jc w:val="both"/>
      </w:pPr>
      <w:r w:rsidRPr="00BC571B">
        <w:t>Копытова Екатерина Дмитриевна</w:t>
      </w:r>
      <w:r>
        <w:t xml:space="preserve"> (</w:t>
      </w:r>
      <w:r w:rsidR="007829C7">
        <w:t>РФ</w:t>
      </w:r>
      <w:r>
        <w:t xml:space="preserve">, г. Вологда) – младший научный сотрудник, Институт социально-экономического развития территорий РАН, </w:t>
      </w:r>
      <w:proofErr w:type="spellStart"/>
      <w:r>
        <w:rPr>
          <w:lang w:val="en-US"/>
        </w:rPr>
        <w:t>ekaterina</w:t>
      </w:r>
      <w:proofErr w:type="spellEnd"/>
      <w:r w:rsidRPr="00BC571B">
        <w:t>-</w:t>
      </w:r>
      <w:proofErr w:type="spellStart"/>
      <w:r>
        <w:rPr>
          <w:lang w:val="en-US"/>
        </w:rPr>
        <w:t>razgylina</w:t>
      </w:r>
      <w:proofErr w:type="spellEnd"/>
      <w:r w:rsidRPr="00BC571B">
        <w:t>@</w:t>
      </w:r>
      <w:proofErr w:type="spellStart"/>
      <w:r>
        <w:rPr>
          <w:lang w:val="en-US"/>
        </w:rPr>
        <w:t>yandex</w:t>
      </w:r>
      <w:proofErr w:type="spellEnd"/>
      <w:r w:rsidRPr="00BC571B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BC571B" w:rsidRDefault="00BC571B" w:rsidP="000D6C49">
      <w:pPr>
        <w:jc w:val="center"/>
        <w:rPr>
          <w:b/>
        </w:rPr>
      </w:pPr>
    </w:p>
    <w:p w:rsidR="00BC571B" w:rsidRDefault="00BC571B" w:rsidP="000D6C49">
      <w:pPr>
        <w:jc w:val="right"/>
        <w:rPr>
          <w:rFonts w:eastAsia="Calibri"/>
          <w:b/>
          <w:lang w:eastAsia="en-US"/>
        </w:rPr>
      </w:pPr>
      <w:proofErr w:type="spellStart"/>
      <w:r w:rsidRPr="00BC571B">
        <w:rPr>
          <w:rFonts w:eastAsia="Calibri"/>
          <w:b/>
          <w:lang w:eastAsia="en-US"/>
        </w:rPr>
        <w:t>Kopytova</w:t>
      </w:r>
      <w:proofErr w:type="spellEnd"/>
      <w:r w:rsidRPr="00BC571B">
        <w:rPr>
          <w:rFonts w:eastAsia="Calibri"/>
          <w:b/>
          <w:lang w:eastAsia="en-US"/>
        </w:rPr>
        <w:t xml:space="preserve"> </w:t>
      </w:r>
      <w:proofErr w:type="spellStart"/>
      <w:r w:rsidRPr="00BC571B">
        <w:rPr>
          <w:rFonts w:eastAsia="Calibri"/>
          <w:b/>
          <w:lang w:eastAsia="en-US"/>
        </w:rPr>
        <w:t>Ekaterina</w:t>
      </w:r>
      <w:proofErr w:type="spellEnd"/>
      <w:r w:rsidRPr="00BC571B">
        <w:rPr>
          <w:rFonts w:eastAsia="Calibri"/>
          <w:b/>
          <w:lang w:eastAsia="en-US"/>
        </w:rPr>
        <w:t xml:space="preserve"> </w:t>
      </w:r>
      <w:proofErr w:type="spellStart"/>
      <w:r w:rsidRPr="00BC571B">
        <w:rPr>
          <w:rFonts w:eastAsia="Calibri"/>
          <w:b/>
          <w:lang w:eastAsia="en-US"/>
        </w:rPr>
        <w:t>Dmitrievna</w:t>
      </w:r>
      <w:proofErr w:type="spellEnd"/>
    </w:p>
    <w:p w:rsidR="00BC571B" w:rsidRDefault="00BC571B" w:rsidP="000D6C49">
      <w:pPr>
        <w:jc w:val="right"/>
        <w:rPr>
          <w:rFonts w:eastAsia="Calibri"/>
          <w:b/>
          <w:lang w:eastAsia="en-US"/>
        </w:rPr>
      </w:pPr>
    </w:p>
    <w:p w:rsidR="002F2931" w:rsidRPr="007829C7" w:rsidRDefault="007829C7" w:rsidP="007829C7">
      <w:pPr>
        <w:jc w:val="center"/>
        <w:rPr>
          <w:rFonts w:eastAsia="Calibri"/>
          <w:b/>
          <w:lang w:val="en-US" w:eastAsia="en-US"/>
        </w:rPr>
      </w:pPr>
      <w:r w:rsidRPr="007829C7">
        <w:rPr>
          <w:rFonts w:eastAsia="Calibri"/>
          <w:b/>
          <w:lang w:val="en-US" w:eastAsia="en-US"/>
        </w:rPr>
        <w:t>LARGEST CHEMICAL ENTERPRISES’ CONTRIBUTION TO TERRITORIAL DEVELOPMENT</w:t>
      </w:r>
    </w:p>
    <w:p w:rsidR="007829C7" w:rsidRPr="007829C7" w:rsidRDefault="007829C7" w:rsidP="007829C7">
      <w:pPr>
        <w:jc w:val="center"/>
        <w:rPr>
          <w:b/>
          <w:color w:val="FF0000"/>
          <w:lang w:val="en-US"/>
        </w:rPr>
      </w:pPr>
    </w:p>
    <w:p w:rsidR="00D26446" w:rsidRPr="007829C7" w:rsidRDefault="007829C7" w:rsidP="000D6C49">
      <w:pPr>
        <w:ind w:firstLine="709"/>
        <w:jc w:val="both"/>
        <w:rPr>
          <w:i/>
          <w:lang w:val="en-US"/>
        </w:rPr>
      </w:pPr>
      <w:r w:rsidRPr="007829C7">
        <w:rPr>
          <w:b/>
          <w:lang w:val="en-US"/>
        </w:rPr>
        <w:t>Annotation</w:t>
      </w:r>
      <w:r w:rsidR="002F2931" w:rsidRPr="007829C7">
        <w:rPr>
          <w:b/>
          <w:lang w:val="en-US"/>
        </w:rPr>
        <w:t xml:space="preserve">: </w:t>
      </w:r>
      <w:r w:rsidR="002F2931" w:rsidRPr="007829C7">
        <w:rPr>
          <w:lang w:val="en-US"/>
        </w:rPr>
        <w:t>The analysis of production and financial performance of the largest enterprises in the chemical industry, showed a reduction in their contribution to the development of territories. A set of recommendations to the authorities to increase the contribution of business to regional development.</w:t>
      </w:r>
    </w:p>
    <w:p w:rsidR="007829C7" w:rsidRPr="007829C7" w:rsidRDefault="007829C7" w:rsidP="000D6C49">
      <w:pPr>
        <w:ind w:firstLine="709"/>
        <w:jc w:val="both"/>
        <w:rPr>
          <w:b/>
        </w:rPr>
      </w:pPr>
    </w:p>
    <w:p w:rsidR="00D26446" w:rsidRPr="007829C7" w:rsidRDefault="007829C7" w:rsidP="000D6C49">
      <w:pPr>
        <w:ind w:firstLine="709"/>
        <w:jc w:val="both"/>
        <w:rPr>
          <w:lang w:val="en-US"/>
        </w:rPr>
      </w:pPr>
      <w:r w:rsidRPr="007829C7">
        <w:rPr>
          <w:b/>
          <w:lang w:val="en-US"/>
        </w:rPr>
        <w:t>Key words</w:t>
      </w:r>
      <w:r w:rsidR="0020241B" w:rsidRPr="007829C7">
        <w:rPr>
          <w:b/>
          <w:lang w:val="en-US"/>
        </w:rPr>
        <w:t xml:space="preserve">: </w:t>
      </w:r>
      <w:r w:rsidRPr="007829C7">
        <w:rPr>
          <w:lang w:val="en-US"/>
        </w:rPr>
        <w:t>enterprise, social responsibility of business, region, development of territories, the authorities.</w:t>
      </w:r>
    </w:p>
    <w:p w:rsidR="007829C7" w:rsidRPr="007829C7" w:rsidRDefault="007829C7" w:rsidP="000D6C49">
      <w:pPr>
        <w:ind w:firstLine="709"/>
        <w:jc w:val="both"/>
        <w:rPr>
          <w:i/>
          <w:color w:val="FF0000"/>
          <w:lang w:val="en-US"/>
        </w:rPr>
      </w:pPr>
    </w:p>
    <w:p w:rsidR="00C05805" w:rsidRPr="00C05805" w:rsidRDefault="00C05805" w:rsidP="00516252">
      <w:pPr>
        <w:ind w:firstLine="709"/>
        <w:jc w:val="both"/>
        <w:rPr>
          <w:lang w:val="en-US"/>
        </w:rPr>
      </w:pPr>
      <w:proofErr w:type="spellStart"/>
      <w:r w:rsidRPr="00C05805">
        <w:rPr>
          <w:lang w:val="en-US"/>
        </w:rPr>
        <w:t>Kopytova</w:t>
      </w:r>
      <w:proofErr w:type="spellEnd"/>
      <w:r w:rsidRPr="00C05805">
        <w:rPr>
          <w:lang w:val="en-US"/>
        </w:rPr>
        <w:t xml:space="preserve"> Ekaterina </w:t>
      </w:r>
      <w:proofErr w:type="spellStart"/>
      <w:r w:rsidRPr="00C05805">
        <w:rPr>
          <w:lang w:val="en-US"/>
        </w:rPr>
        <w:t>Dmitrievna</w:t>
      </w:r>
      <w:proofErr w:type="spellEnd"/>
      <w:r w:rsidRPr="00C05805">
        <w:rPr>
          <w:lang w:val="en-US"/>
        </w:rPr>
        <w:t xml:space="preserve"> (Russian Federation,</w:t>
      </w:r>
      <w:r w:rsidRPr="00516252">
        <w:rPr>
          <w:lang w:val="en-US"/>
        </w:rPr>
        <w:t xml:space="preserve"> </w:t>
      </w:r>
      <w:r w:rsidRPr="00C05805">
        <w:rPr>
          <w:lang w:val="en-US"/>
        </w:rPr>
        <w:t>Vologda) – junior scientific associate, Institute of Socio-Economic Develop</w:t>
      </w:r>
      <w:r w:rsidR="00516252">
        <w:rPr>
          <w:lang w:val="en-US"/>
        </w:rPr>
        <w:t>ment of Territories of the RAS,</w:t>
      </w:r>
      <w:r w:rsidR="00516252" w:rsidRPr="00516252">
        <w:rPr>
          <w:lang w:val="en-US"/>
        </w:rPr>
        <w:t xml:space="preserve"> </w:t>
      </w:r>
      <w:r w:rsidRPr="00C05805">
        <w:rPr>
          <w:lang w:val="en-US"/>
        </w:rPr>
        <w:t>ekaterina-razgylina@yandex.ru</w:t>
      </w:r>
    </w:p>
    <w:p w:rsidR="00C05805" w:rsidRPr="00C05805" w:rsidRDefault="00C05805" w:rsidP="00C05805">
      <w:pPr>
        <w:ind w:firstLine="709"/>
        <w:jc w:val="both"/>
        <w:rPr>
          <w:lang w:val="en-US"/>
        </w:rPr>
      </w:pPr>
    </w:p>
    <w:p w:rsidR="00364DD1" w:rsidRPr="00364DD1" w:rsidRDefault="00364DD1" w:rsidP="00364DD1">
      <w:pPr>
        <w:tabs>
          <w:tab w:val="left" w:pos="993"/>
        </w:tabs>
        <w:contextualSpacing/>
        <w:jc w:val="center"/>
        <w:rPr>
          <w:rFonts w:eastAsia="Calibri"/>
          <w:b/>
          <w:lang w:eastAsia="en-US"/>
        </w:rPr>
      </w:pPr>
      <w:r w:rsidRPr="00364DD1">
        <w:rPr>
          <w:rFonts w:eastAsia="Calibri"/>
          <w:b/>
          <w:lang w:val="en-US" w:eastAsia="en-US"/>
        </w:rPr>
        <w:t>R</w:t>
      </w:r>
      <w:proofErr w:type="spellStart"/>
      <w:r w:rsidRPr="00364DD1">
        <w:rPr>
          <w:rFonts w:eastAsia="Calibri"/>
          <w:b/>
          <w:lang w:eastAsia="en-US"/>
        </w:rPr>
        <w:t>eferences</w:t>
      </w:r>
      <w:proofErr w:type="spellEnd"/>
    </w:p>
    <w:p w:rsidR="00364DD1" w:rsidRPr="00364DD1" w:rsidRDefault="00364DD1" w:rsidP="00364DD1">
      <w:pPr>
        <w:tabs>
          <w:tab w:val="left" w:pos="993"/>
        </w:tabs>
        <w:ind w:firstLine="709"/>
        <w:contextualSpacing/>
        <w:jc w:val="both"/>
        <w:rPr>
          <w:rFonts w:eastAsia="Calibri"/>
          <w:lang w:val="en-US" w:eastAsia="en-US"/>
        </w:rPr>
      </w:pPr>
      <w:r w:rsidRPr="00364DD1">
        <w:rPr>
          <w:rFonts w:eastAsia="Calibri"/>
          <w:lang w:val="en-US" w:eastAsia="en-US"/>
        </w:rPr>
        <w:t xml:space="preserve">1. </w:t>
      </w:r>
      <w:proofErr w:type="spellStart"/>
      <w:r w:rsidRPr="00364DD1">
        <w:rPr>
          <w:rFonts w:eastAsia="Calibri"/>
          <w:lang w:val="en-US" w:eastAsia="en-US"/>
        </w:rPr>
        <w:t>Liborakina</w:t>
      </w:r>
      <w:proofErr w:type="spellEnd"/>
      <w:r w:rsidRPr="00364DD1">
        <w:rPr>
          <w:rFonts w:eastAsia="Calibri"/>
          <w:lang w:val="en-US" w:eastAsia="en-US"/>
        </w:rPr>
        <w:t>, M. I. the City and business: formation of social responsibility of Russian companies. M., 2003. – S. 26.</w:t>
      </w:r>
    </w:p>
    <w:p w:rsidR="00364DD1" w:rsidRPr="00364DD1" w:rsidRDefault="00364DD1" w:rsidP="00364DD1">
      <w:pPr>
        <w:tabs>
          <w:tab w:val="left" w:pos="993"/>
        </w:tabs>
        <w:ind w:firstLine="709"/>
        <w:contextualSpacing/>
        <w:jc w:val="both"/>
        <w:rPr>
          <w:rFonts w:eastAsia="Calibri"/>
          <w:lang w:val="en-US" w:eastAsia="en-US"/>
        </w:rPr>
      </w:pPr>
      <w:r w:rsidRPr="00364DD1">
        <w:rPr>
          <w:rFonts w:eastAsia="Calibri"/>
          <w:lang w:val="en-US" w:eastAsia="en-US"/>
        </w:rPr>
        <w:t xml:space="preserve">2. Monitoring the functioning and development of industry in the region [Text]: final research reports / Executive. E. V. </w:t>
      </w:r>
      <w:proofErr w:type="spellStart"/>
      <w:r w:rsidRPr="00364DD1">
        <w:rPr>
          <w:rFonts w:eastAsia="Calibri"/>
          <w:lang w:val="en-US" w:eastAsia="en-US"/>
        </w:rPr>
        <w:t>Lukin</w:t>
      </w:r>
      <w:proofErr w:type="spellEnd"/>
      <w:r w:rsidRPr="00364DD1">
        <w:rPr>
          <w:rFonts w:eastAsia="Calibri"/>
          <w:lang w:val="en-US" w:eastAsia="en-US"/>
        </w:rPr>
        <w:t xml:space="preserve">, A. O. </w:t>
      </w:r>
      <w:proofErr w:type="spellStart"/>
      <w:r w:rsidRPr="00364DD1">
        <w:rPr>
          <w:rFonts w:eastAsia="Calibri"/>
          <w:lang w:val="en-US" w:eastAsia="en-US"/>
        </w:rPr>
        <w:t>Larionov</w:t>
      </w:r>
      <w:proofErr w:type="spellEnd"/>
      <w:r w:rsidRPr="00364DD1">
        <w:rPr>
          <w:rFonts w:eastAsia="Calibri"/>
          <w:lang w:val="en-US" w:eastAsia="en-US"/>
        </w:rPr>
        <w:t>. – Vologda, 2014. – 103 c.</w:t>
      </w:r>
    </w:p>
    <w:p w:rsidR="00364DD1" w:rsidRPr="00364DD1" w:rsidRDefault="00364DD1" w:rsidP="00364DD1">
      <w:pPr>
        <w:tabs>
          <w:tab w:val="left" w:pos="993"/>
        </w:tabs>
        <w:ind w:firstLine="709"/>
        <w:contextualSpacing/>
        <w:jc w:val="both"/>
        <w:rPr>
          <w:rFonts w:eastAsia="Calibri"/>
          <w:lang w:val="en-US" w:eastAsia="en-US"/>
        </w:rPr>
      </w:pPr>
      <w:r w:rsidRPr="00364DD1">
        <w:rPr>
          <w:rFonts w:eastAsia="Calibri"/>
          <w:lang w:val="en-US" w:eastAsia="en-US"/>
        </w:rPr>
        <w:lastRenderedPageBreak/>
        <w:t>3. The official site of the International organization for standardization (ISO) URL: http://www.iso.org/iso/ru/home/standards/iso26000.htm?= (reference date: 04.03.2016)</w:t>
      </w:r>
    </w:p>
    <w:p w:rsidR="00364DD1" w:rsidRPr="00364DD1" w:rsidRDefault="00364DD1" w:rsidP="00364DD1">
      <w:pPr>
        <w:tabs>
          <w:tab w:val="left" w:pos="993"/>
        </w:tabs>
        <w:ind w:firstLine="709"/>
        <w:contextualSpacing/>
        <w:jc w:val="both"/>
        <w:rPr>
          <w:rFonts w:eastAsia="Calibri"/>
          <w:lang w:val="en-US" w:eastAsia="en-US"/>
        </w:rPr>
      </w:pPr>
      <w:r w:rsidRPr="00364DD1">
        <w:rPr>
          <w:rFonts w:eastAsia="Calibri"/>
          <w:lang w:val="en-US" w:eastAsia="en-US"/>
        </w:rPr>
        <w:t>4. Official website of the Russian Union of Industrialists and entrepreneurs (RSPP) URL: http://</w:t>
      </w:r>
      <w:proofErr w:type="spellStart"/>
      <w:r w:rsidRPr="00364DD1">
        <w:rPr>
          <w:rFonts w:eastAsia="Calibri"/>
          <w:lang w:eastAsia="en-US"/>
        </w:rPr>
        <w:t>рспп</w:t>
      </w:r>
      <w:proofErr w:type="spellEnd"/>
      <w:r w:rsidRPr="00364DD1">
        <w:rPr>
          <w:rFonts w:eastAsia="Calibri"/>
          <w:lang w:val="en-US" w:eastAsia="en-US"/>
        </w:rPr>
        <w:t>.</w:t>
      </w:r>
      <w:proofErr w:type="spellStart"/>
      <w:r w:rsidRPr="00364DD1">
        <w:rPr>
          <w:rFonts w:eastAsia="Calibri"/>
          <w:lang w:eastAsia="en-US"/>
        </w:rPr>
        <w:t>рф</w:t>
      </w:r>
      <w:proofErr w:type="spellEnd"/>
      <w:r w:rsidRPr="00364DD1">
        <w:rPr>
          <w:rFonts w:eastAsia="Calibri"/>
          <w:lang w:val="en-US" w:eastAsia="en-US"/>
        </w:rPr>
        <w:t>/</w:t>
      </w:r>
      <w:proofErr w:type="spellStart"/>
      <w:r w:rsidRPr="00364DD1">
        <w:rPr>
          <w:rFonts w:eastAsia="Calibri"/>
          <w:lang w:val="en-US" w:eastAsia="en-US"/>
        </w:rPr>
        <w:t>simplepage</w:t>
      </w:r>
      <w:proofErr w:type="spellEnd"/>
      <w:r w:rsidRPr="00364DD1">
        <w:rPr>
          <w:rFonts w:eastAsia="Calibri"/>
          <w:lang w:val="en-US" w:eastAsia="en-US"/>
        </w:rPr>
        <w:t>/472 (reference date: 04.03.2016)</w:t>
      </w:r>
    </w:p>
    <w:p w:rsidR="00364DD1" w:rsidRPr="00364DD1" w:rsidRDefault="00364DD1" w:rsidP="00364DD1">
      <w:pPr>
        <w:tabs>
          <w:tab w:val="left" w:pos="993"/>
        </w:tabs>
        <w:ind w:firstLine="709"/>
        <w:contextualSpacing/>
        <w:jc w:val="both"/>
        <w:rPr>
          <w:rFonts w:eastAsia="Calibri"/>
          <w:lang w:val="en-US" w:eastAsia="en-US"/>
        </w:rPr>
      </w:pPr>
      <w:r w:rsidRPr="00364DD1">
        <w:rPr>
          <w:rFonts w:eastAsia="Calibri"/>
          <w:lang w:val="en-US" w:eastAsia="en-US"/>
        </w:rPr>
        <w:t>5. The official website of the Federal tax service of the Russian Federation. URL: http://www.nalog.ru/ (accessed: 27.12.2015)</w:t>
      </w:r>
    </w:p>
    <w:p w:rsidR="00364DD1" w:rsidRPr="00364DD1" w:rsidRDefault="00364DD1" w:rsidP="00364DD1">
      <w:pPr>
        <w:tabs>
          <w:tab w:val="left" w:pos="993"/>
        </w:tabs>
        <w:ind w:firstLine="709"/>
        <w:contextualSpacing/>
        <w:jc w:val="both"/>
        <w:rPr>
          <w:rFonts w:eastAsia="Calibri"/>
          <w:lang w:val="en-US" w:eastAsia="en-US"/>
        </w:rPr>
      </w:pPr>
      <w:r w:rsidRPr="00364DD1">
        <w:rPr>
          <w:rFonts w:eastAsia="Calibri"/>
          <w:lang w:val="en-US" w:eastAsia="en-US"/>
        </w:rPr>
        <w:t xml:space="preserve">6. </w:t>
      </w:r>
      <w:proofErr w:type="spellStart"/>
      <w:r w:rsidRPr="00364DD1">
        <w:rPr>
          <w:rFonts w:eastAsia="Calibri"/>
          <w:lang w:val="en-US" w:eastAsia="en-US"/>
        </w:rPr>
        <w:t>Razgulina</w:t>
      </w:r>
      <w:proofErr w:type="spellEnd"/>
      <w:r w:rsidRPr="00364DD1">
        <w:rPr>
          <w:rFonts w:eastAsia="Calibri"/>
          <w:lang w:val="en-US" w:eastAsia="en-US"/>
        </w:rPr>
        <w:t xml:space="preserve">, E. D. Influence of activity of the largest enterprises of the chemical industry on the regional economy development / E. D. </w:t>
      </w:r>
      <w:proofErr w:type="spellStart"/>
      <w:r w:rsidRPr="00364DD1">
        <w:rPr>
          <w:rFonts w:eastAsia="Calibri"/>
          <w:lang w:val="en-US" w:eastAsia="en-US"/>
        </w:rPr>
        <w:t>razgulina</w:t>
      </w:r>
      <w:proofErr w:type="spellEnd"/>
      <w:r w:rsidRPr="00364DD1">
        <w:rPr>
          <w:rFonts w:eastAsia="Calibri"/>
          <w:lang w:val="en-US" w:eastAsia="en-US"/>
        </w:rPr>
        <w:t xml:space="preserve"> // problems of development of territories. – 2015. – № 6 (80). –P. 73.</w:t>
      </w:r>
    </w:p>
    <w:p w:rsidR="00364DD1" w:rsidRPr="00364DD1" w:rsidRDefault="00364DD1" w:rsidP="00364DD1">
      <w:pPr>
        <w:tabs>
          <w:tab w:val="left" w:pos="993"/>
        </w:tabs>
        <w:ind w:firstLine="709"/>
        <w:contextualSpacing/>
        <w:jc w:val="both"/>
        <w:rPr>
          <w:rFonts w:eastAsia="Calibri"/>
          <w:lang w:val="en-US" w:eastAsia="en-US"/>
        </w:rPr>
      </w:pPr>
      <w:r w:rsidRPr="00364DD1">
        <w:rPr>
          <w:rFonts w:eastAsia="Calibri"/>
          <w:lang w:val="en-US" w:eastAsia="en-US"/>
        </w:rPr>
        <w:t>7. The social responsibility of business experience between Russia and the West. M., 2004. – S. 14.</w:t>
      </w:r>
    </w:p>
    <w:p w:rsidR="00D26446" w:rsidRPr="00364DD1" w:rsidRDefault="00364DD1" w:rsidP="00364DD1">
      <w:pPr>
        <w:tabs>
          <w:tab w:val="left" w:pos="993"/>
        </w:tabs>
        <w:ind w:firstLine="709"/>
        <w:contextualSpacing/>
        <w:jc w:val="both"/>
        <w:rPr>
          <w:rFonts w:eastAsia="Calibri"/>
          <w:lang w:val="en-US" w:eastAsia="en-US"/>
        </w:rPr>
      </w:pPr>
      <w:r w:rsidRPr="00364DD1">
        <w:rPr>
          <w:rFonts w:eastAsia="Calibri"/>
          <w:lang w:val="en-US" w:eastAsia="en-US"/>
        </w:rPr>
        <w:t xml:space="preserve">8. </w:t>
      </w:r>
      <w:proofErr w:type="spellStart"/>
      <w:r w:rsidRPr="00364DD1">
        <w:rPr>
          <w:rFonts w:eastAsia="Calibri"/>
          <w:lang w:val="en-US" w:eastAsia="en-US"/>
        </w:rPr>
        <w:t>Uskova</w:t>
      </w:r>
      <w:proofErr w:type="spellEnd"/>
      <w:r w:rsidRPr="00364DD1">
        <w:rPr>
          <w:rFonts w:eastAsia="Calibri"/>
          <w:lang w:val="en-US" w:eastAsia="en-US"/>
        </w:rPr>
        <w:t xml:space="preserve">, T. V. Social responsibility of business: issues and trends [Text]: Preprint / T. V. </w:t>
      </w:r>
      <w:proofErr w:type="spellStart"/>
      <w:r w:rsidRPr="00364DD1">
        <w:rPr>
          <w:rFonts w:eastAsia="Calibri"/>
          <w:lang w:val="en-US" w:eastAsia="en-US"/>
        </w:rPr>
        <w:t>Uskova</w:t>
      </w:r>
      <w:proofErr w:type="spellEnd"/>
      <w:r w:rsidRPr="00364DD1">
        <w:rPr>
          <w:rFonts w:eastAsia="Calibri"/>
          <w:lang w:val="en-US" w:eastAsia="en-US"/>
        </w:rPr>
        <w:t xml:space="preserve">, E. D. </w:t>
      </w:r>
      <w:proofErr w:type="spellStart"/>
      <w:r w:rsidRPr="00364DD1">
        <w:rPr>
          <w:rFonts w:eastAsia="Calibri"/>
          <w:lang w:val="en-US" w:eastAsia="en-US"/>
        </w:rPr>
        <w:t>razgulina</w:t>
      </w:r>
      <w:proofErr w:type="spellEnd"/>
      <w:r w:rsidRPr="00364DD1">
        <w:rPr>
          <w:rFonts w:eastAsia="Calibri"/>
          <w:lang w:val="en-US" w:eastAsia="en-US"/>
        </w:rPr>
        <w:t>. – Vologda: ISEDT RAS, 2015. – S. 13.</w:t>
      </w:r>
    </w:p>
    <w:sectPr w:rsidR="00D26446" w:rsidRPr="00364DD1" w:rsidSect="00A235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12" w:rsidRDefault="00951312" w:rsidP="002B4C1A">
      <w:r>
        <w:separator/>
      </w:r>
    </w:p>
  </w:endnote>
  <w:endnote w:type="continuationSeparator" w:id="0">
    <w:p w:rsidR="00951312" w:rsidRDefault="00951312" w:rsidP="002B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12" w:rsidRDefault="00951312" w:rsidP="002B4C1A">
      <w:r>
        <w:separator/>
      </w:r>
    </w:p>
  </w:footnote>
  <w:footnote w:type="continuationSeparator" w:id="0">
    <w:p w:rsidR="00951312" w:rsidRDefault="00951312" w:rsidP="002B4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232"/>
    <w:multiLevelType w:val="hybridMultilevel"/>
    <w:tmpl w:val="FE886C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1F24BD"/>
    <w:multiLevelType w:val="hybridMultilevel"/>
    <w:tmpl w:val="3F0037A0"/>
    <w:lvl w:ilvl="0" w:tplc="747885D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15580B"/>
    <w:multiLevelType w:val="hybridMultilevel"/>
    <w:tmpl w:val="C37ADC32"/>
    <w:lvl w:ilvl="0" w:tplc="747885D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1B472B"/>
    <w:multiLevelType w:val="hybridMultilevel"/>
    <w:tmpl w:val="0534DDDC"/>
    <w:lvl w:ilvl="0" w:tplc="4ED6C4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565FE"/>
    <w:multiLevelType w:val="hybridMultilevel"/>
    <w:tmpl w:val="3DF426EA"/>
    <w:lvl w:ilvl="0" w:tplc="747885D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4164A2"/>
    <w:multiLevelType w:val="hybridMultilevel"/>
    <w:tmpl w:val="AEF0BE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F85043"/>
    <w:multiLevelType w:val="hybridMultilevel"/>
    <w:tmpl w:val="C150BB7C"/>
    <w:lvl w:ilvl="0" w:tplc="747885D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847C0E"/>
    <w:multiLevelType w:val="hybridMultilevel"/>
    <w:tmpl w:val="16A872F8"/>
    <w:lvl w:ilvl="0" w:tplc="747885D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504A3A"/>
    <w:multiLevelType w:val="hybridMultilevel"/>
    <w:tmpl w:val="BE426094"/>
    <w:lvl w:ilvl="0" w:tplc="68F638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843D3"/>
    <w:multiLevelType w:val="hybridMultilevel"/>
    <w:tmpl w:val="FCECA15C"/>
    <w:lvl w:ilvl="0" w:tplc="A25AD20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1C30C3"/>
    <w:multiLevelType w:val="hybridMultilevel"/>
    <w:tmpl w:val="C1BA8478"/>
    <w:lvl w:ilvl="0" w:tplc="4ED6C4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52C22"/>
    <w:multiLevelType w:val="hybridMultilevel"/>
    <w:tmpl w:val="C0E23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821859"/>
    <w:multiLevelType w:val="hybridMultilevel"/>
    <w:tmpl w:val="ABB6112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994CB8"/>
    <w:multiLevelType w:val="hybridMultilevel"/>
    <w:tmpl w:val="E584BDC4"/>
    <w:lvl w:ilvl="0" w:tplc="747885D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D14308C"/>
    <w:multiLevelType w:val="hybridMultilevel"/>
    <w:tmpl w:val="47FCEBE0"/>
    <w:lvl w:ilvl="0" w:tplc="747885D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4CB1D7F"/>
    <w:multiLevelType w:val="hybridMultilevel"/>
    <w:tmpl w:val="8EB8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3784C"/>
    <w:multiLevelType w:val="hybridMultilevel"/>
    <w:tmpl w:val="728275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D650CDD"/>
    <w:multiLevelType w:val="hybridMultilevel"/>
    <w:tmpl w:val="753283A2"/>
    <w:lvl w:ilvl="0" w:tplc="747885D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5772E7D"/>
    <w:multiLevelType w:val="hybridMultilevel"/>
    <w:tmpl w:val="5712D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1"/>
  </w:num>
  <w:num w:numId="5">
    <w:abstractNumId w:val="9"/>
  </w:num>
  <w:num w:numId="6">
    <w:abstractNumId w:val="7"/>
  </w:num>
  <w:num w:numId="7">
    <w:abstractNumId w:val="14"/>
  </w:num>
  <w:num w:numId="8">
    <w:abstractNumId w:val="2"/>
  </w:num>
  <w:num w:numId="9">
    <w:abstractNumId w:val="15"/>
  </w:num>
  <w:num w:numId="10">
    <w:abstractNumId w:val="18"/>
  </w:num>
  <w:num w:numId="11">
    <w:abstractNumId w:val="16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AB"/>
    <w:rsid w:val="00002914"/>
    <w:rsid w:val="00020298"/>
    <w:rsid w:val="000436EE"/>
    <w:rsid w:val="000477A7"/>
    <w:rsid w:val="000551AF"/>
    <w:rsid w:val="00060BDC"/>
    <w:rsid w:val="00061D61"/>
    <w:rsid w:val="0009776A"/>
    <w:rsid w:val="000A1D3D"/>
    <w:rsid w:val="000A354C"/>
    <w:rsid w:val="000A7E83"/>
    <w:rsid w:val="000D6C49"/>
    <w:rsid w:val="000F68D6"/>
    <w:rsid w:val="000F694E"/>
    <w:rsid w:val="0010269B"/>
    <w:rsid w:val="001139F2"/>
    <w:rsid w:val="0012585F"/>
    <w:rsid w:val="0012789C"/>
    <w:rsid w:val="00143955"/>
    <w:rsid w:val="00152581"/>
    <w:rsid w:val="00162968"/>
    <w:rsid w:val="00172840"/>
    <w:rsid w:val="00173DDD"/>
    <w:rsid w:val="00190528"/>
    <w:rsid w:val="00197C6F"/>
    <w:rsid w:val="001A4C52"/>
    <w:rsid w:val="001A504B"/>
    <w:rsid w:val="001A6841"/>
    <w:rsid w:val="001B1D8F"/>
    <w:rsid w:val="001C36FD"/>
    <w:rsid w:val="001C4218"/>
    <w:rsid w:val="001D4972"/>
    <w:rsid w:val="001E033B"/>
    <w:rsid w:val="001E6A9D"/>
    <w:rsid w:val="001F2DBA"/>
    <w:rsid w:val="001F44C5"/>
    <w:rsid w:val="0020241B"/>
    <w:rsid w:val="00207126"/>
    <w:rsid w:val="00211737"/>
    <w:rsid w:val="00224320"/>
    <w:rsid w:val="00226E8C"/>
    <w:rsid w:val="00235B78"/>
    <w:rsid w:val="0024023A"/>
    <w:rsid w:val="0025445C"/>
    <w:rsid w:val="00261E4B"/>
    <w:rsid w:val="00264BE1"/>
    <w:rsid w:val="00267B72"/>
    <w:rsid w:val="002732C4"/>
    <w:rsid w:val="002868DB"/>
    <w:rsid w:val="002938FA"/>
    <w:rsid w:val="00294355"/>
    <w:rsid w:val="002950C6"/>
    <w:rsid w:val="00297A53"/>
    <w:rsid w:val="00297D31"/>
    <w:rsid w:val="002B3937"/>
    <w:rsid w:val="002B4C1A"/>
    <w:rsid w:val="002C0978"/>
    <w:rsid w:val="002D3469"/>
    <w:rsid w:val="002D3A43"/>
    <w:rsid w:val="002E4437"/>
    <w:rsid w:val="002F2931"/>
    <w:rsid w:val="00306E6C"/>
    <w:rsid w:val="00326015"/>
    <w:rsid w:val="00326FD7"/>
    <w:rsid w:val="00344294"/>
    <w:rsid w:val="003537FB"/>
    <w:rsid w:val="00353859"/>
    <w:rsid w:val="00364DD1"/>
    <w:rsid w:val="00384FCB"/>
    <w:rsid w:val="0038650F"/>
    <w:rsid w:val="003A0091"/>
    <w:rsid w:val="003B17B5"/>
    <w:rsid w:val="003B43F1"/>
    <w:rsid w:val="003B5CB7"/>
    <w:rsid w:val="003C5E45"/>
    <w:rsid w:val="003E2E58"/>
    <w:rsid w:val="003E329D"/>
    <w:rsid w:val="003E381C"/>
    <w:rsid w:val="003E4BDD"/>
    <w:rsid w:val="003E63A8"/>
    <w:rsid w:val="003F1DFE"/>
    <w:rsid w:val="003F445D"/>
    <w:rsid w:val="004054E4"/>
    <w:rsid w:val="004059AF"/>
    <w:rsid w:val="00407641"/>
    <w:rsid w:val="0041600D"/>
    <w:rsid w:val="00424B0C"/>
    <w:rsid w:val="004272E8"/>
    <w:rsid w:val="00431B83"/>
    <w:rsid w:val="00432EB7"/>
    <w:rsid w:val="00434924"/>
    <w:rsid w:val="00445B8D"/>
    <w:rsid w:val="004467FD"/>
    <w:rsid w:val="0046102E"/>
    <w:rsid w:val="00462F4D"/>
    <w:rsid w:val="00480467"/>
    <w:rsid w:val="004820BD"/>
    <w:rsid w:val="00487FE2"/>
    <w:rsid w:val="004922DE"/>
    <w:rsid w:val="00494E87"/>
    <w:rsid w:val="004C7ADD"/>
    <w:rsid w:val="004E526B"/>
    <w:rsid w:val="004F049B"/>
    <w:rsid w:val="005028F9"/>
    <w:rsid w:val="005050EC"/>
    <w:rsid w:val="00505A65"/>
    <w:rsid w:val="00516252"/>
    <w:rsid w:val="005175E3"/>
    <w:rsid w:val="00530C08"/>
    <w:rsid w:val="00534434"/>
    <w:rsid w:val="00536EC8"/>
    <w:rsid w:val="005467E1"/>
    <w:rsid w:val="005616F1"/>
    <w:rsid w:val="00596254"/>
    <w:rsid w:val="005B5945"/>
    <w:rsid w:val="005C65E6"/>
    <w:rsid w:val="005D6A09"/>
    <w:rsid w:val="005E1D75"/>
    <w:rsid w:val="005E2577"/>
    <w:rsid w:val="005E5AA2"/>
    <w:rsid w:val="005F1D0A"/>
    <w:rsid w:val="0060032B"/>
    <w:rsid w:val="00610317"/>
    <w:rsid w:val="00620A81"/>
    <w:rsid w:val="006238CB"/>
    <w:rsid w:val="00632F32"/>
    <w:rsid w:val="00636161"/>
    <w:rsid w:val="006543F8"/>
    <w:rsid w:val="00670E5F"/>
    <w:rsid w:val="00681D6D"/>
    <w:rsid w:val="00693F7E"/>
    <w:rsid w:val="006A0354"/>
    <w:rsid w:val="006A5897"/>
    <w:rsid w:val="006B0035"/>
    <w:rsid w:val="006B2E75"/>
    <w:rsid w:val="006C2E52"/>
    <w:rsid w:val="006C5BFF"/>
    <w:rsid w:val="006E252C"/>
    <w:rsid w:val="00701E13"/>
    <w:rsid w:val="00702EC2"/>
    <w:rsid w:val="00711936"/>
    <w:rsid w:val="00713F7C"/>
    <w:rsid w:val="0071435F"/>
    <w:rsid w:val="007307D1"/>
    <w:rsid w:val="007559C4"/>
    <w:rsid w:val="00757F0E"/>
    <w:rsid w:val="0076141F"/>
    <w:rsid w:val="00762F53"/>
    <w:rsid w:val="00763916"/>
    <w:rsid w:val="007829C7"/>
    <w:rsid w:val="007835EC"/>
    <w:rsid w:val="007A1626"/>
    <w:rsid w:val="007B56A0"/>
    <w:rsid w:val="007C596E"/>
    <w:rsid w:val="007D2298"/>
    <w:rsid w:val="007F5B43"/>
    <w:rsid w:val="008056B2"/>
    <w:rsid w:val="008056F5"/>
    <w:rsid w:val="008060D2"/>
    <w:rsid w:val="00816D73"/>
    <w:rsid w:val="00833671"/>
    <w:rsid w:val="00837CAE"/>
    <w:rsid w:val="00854392"/>
    <w:rsid w:val="008641B9"/>
    <w:rsid w:val="00886EEB"/>
    <w:rsid w:val="00894466"/>
    <w:rsid w:val="008B098C"/>
    <w:rsid w:val="008B0CFD"/>
    <w:rsid w:val="008B2ED5"/>
    <w:rsid w:val="008C46A2"/>
    <w:rsid w:val="008C6747"/>
    <w:rsid w:val="008D42C1"/>
    <w:rsid w:val="008F646D"/>
    <w:rsid w:val="00901D37"/>
    <w:rsid w:val="00916824"/>
    <w:rsid w:val="00917403"/>
    <w:rsid w:val="00922A94"/>
    <w:rsid w:val="00930EA7"/>
    <w:rsid w:val="009326B7"/>
    <w:rsid w:val="00932FBE"/>
    <w:rsid w:val="00937E35"/>
    <w:rsid w:val="009425D8"/>
    <w:rsid w:val="00945C43"/>
    <w:rsid w:val="00951312"/>
    <w:rsid w:val="00966C23"/>
    <w:rsid w:val="009A194D"/>
    <w:rsid w:val="009A205F"/>
    <w:rsid w:val="009A742B"/>
    <w:rsid w:val="009C402B"/>
    <w:rsid w:val="009D334D"/>
    <w:rsid w:val="009E4AFE"/>
    <w:rsid w:val="009E6FE7"/>
    <w:rsid w:val="009F6482"/>
    <w:rsid w:val="00A012B2"/>
    <w:rsid w:val="00A23549"/>
    <w:rsid w:val="00A259CB"/>
    <w:rsid w:val="00A312AB"/>
    <w:rsid w:val="00A501B1"/>
    <w:rsid w:val="00A52323"/>
    <w:rsid w:val="00A62030"/>
    <w:rsid w:val="00A6546E"/>
    <w:rsid w:val="00A65D28"/>
    <w:rsid w:val="00A93203"/>
    <w:rsid w:val="00A93B32"/>
    <w:rsid w:val="00AA502F"/>
    <w:rsid w:val="00AA72CC"/>
    <w:rsid w:val="00AB2F3F"/>
    <w:rsid w:val="00AB33F6"/>
    <w:rsid w:val="00AB3B75"/>
    <w:rsid w:val="00AC218E"/>
    <w:rsid w:val="00AC5DA5"/>
    <w:rsid w:val="00AE2B4F"/>
    <w:rsid w:val="00AF1287"/>
    <w:rsid w:val="00B11BD9"/>
    <w:rsid w:val="00B141FF"/>
    <w:rsid w:val="00B23780"/>
    <w:rsid w:val="00B237B4"/>
    <w:rsid w:val="00B2717B"/>
    <w:rsid w:val="00B358B8"/>
    <w:rsid w:val="00B36180"/>
    <w:rsid w:val="00B409E9"/>
    <w:rsid w:val="00B51FCF"/>
    <w:rsid w:val="00B72A53"/>
    <w:rsid w:val="00B73425"/>
    <w:rsid w:val="00B73887"/>
    <w:rsid w:val="00B958E3"/>
    <w:rsid w:val="00BB7979"/>
    <w:rsid w:val="00BC571B"/>
    <w:rsid w:val="00BD2F61"/>
    <w:rsid w:val="00BD5B21"/>
    <w:rsid w:val="00BE4D81"/>
    <w:rsid w:val="00BE5EE1"/>
    <w:rsid w:val="00BE77AF"/>
    <w:rsid w:val="00BE7CBE"/>
    <w:rsid w:val="00BF0B57"/>
    <w:rsid w:val="00BF214D"/>
    <w:rsid w:val="00C05805"/>
    <w:rsid w:val="00C14271"/>
    <w:rsid w:val="00C15E19"/>
    <w:rsid w:val="00C24BB3"/>
    <w:rsid w:val="00C444D1"/>
    <w:rsid w:val="00C51EEB"/>
    <w:rsid w:val="00C567B9"/>
    <w:rsid w:val="00C6066F"/>
    <w:rsid w:val="00C636E9"/>
    <w:rsid w:val="00C709A5"/>
    <w:rsid w:val="00C73A91"/>
    <w:rsid w:val="00C73C0B"/>
    <w:rsid w:val="00C748A6"/>
    <w:rsid w:val="00C82B92"/>
    <w:rsid w:val="00C9478F"/>
    <w:rsid w:val="00C9733C"/>
    <w:rsid w:val="00CA00AE"/>
    <w:rsid w:val="00CA7426"/>
    <w:rsid w:val="00CB03FE"/>
    <w:rsid w:val="00CB0414"/>
    <w:rsid w:val="00CB178D"/>
    <w:rsid w:val="00CB1B6F"/>
    <w:rsid w:val="00CC3E66"/>
    <w:rsid w:val="00CD1FE9"/>
    <w:rsid w:val="00CE35B6"/>
    <w:rsid w:val="00CE77E5"/>
    <w:rsid w:val="00D02CD2"/>
    <w:rsid w:val="00D04D5F"/>
    <w:rsid w:val="00D1027B"/>
    <w:rsid w:val="00D204F5"/>
    <w:rsid w:val="00D26446"/>
    <w:rsid w:val="00D30C98"/>
    <w:rsid w:val="00D30FBB"/>
    <w:rsid w:val="00D4673B"/>
    <w:rsid w:val="00D46A02"/>
    <w:rsid w:val="00D5282D"/>
    <w:rsid w:val="00D56898"/>
    <w:rsid w:val="00D65958"/>
    <w:rsid w:val="00D71587"/>
    <w:rsid w:val="00D84549"/>
    <w:rsid w:val="00D84EE0"/>
    <w:rsid w:val="00DA042F"/>
    <w:rsid w:val="00DA642A"/>
    <w:rsid w:val="00DB4F98"/>
    <w:rsid w:val="00DB7F32"/>
    <w:rsid w:val="00DD123D"/>
    <w:rsid w:val="00DF5E0F"/>
    <w:rsid w:val="00E00E50"/>
    <w:rsid w:val="00E05F5F"/>
    <w:rsid w:val="00E0751C"/>
    <w:rsid w:val="00E52C5F"/>
    <w:rsid w:val="00E55B26"/>
    <w:rsid w:val="00E768F8"/>
    <w:rsid w:val="00E97CC8"/>
    <w:rsid w:val="00EA6A77"/>
    <w:rsid w:val="00EC2754"/>
    <w:rsid w:val="00EC3FD1"/>
    <w:rsid w:val="00ED356D"/>
    <w:rsid w:val="00F1255C"/>
    <w:rsid w:val="00F13503"/>
    <w:rsid w:val="00F37DAF"/>
    <w:rsid w:val="00F544AE"/>
    <w:rsid w:val="00F613D4"/>
    <w:rsid w:val="00F632F9"/>
    <w:rsid w:val="00F71E3B"/>
    <w:rsid w:val="00F77DF9"/>
    <w:rsid w:val="00F85EDA"/>
    <w:rsid w:val="00FA2CDC"/>
    <w:rsid w:val="00FD4D69"/>
    <w:rsid w:val="00FE1B40"/>
    <w:rsid w:val="00FF048F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-FN,Footnote Text Char Знак Знак,Footnote Text Char Знак,Table_Footnote_last Знак,Table_Footnote_last Знак Знак,Table_Footnote_last,single space,footnote text,Знак Знак Знак,Текст сноски Знак1 Знак,-++,-++ Знак"/>
    <w:basedOn w:val="a"/>
    <w:link w:val="1"/>
    <w:uiPriority w:val="99"/>
    <w:rsid w:val="002B4C1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uiPriority w:val="99"/>
    <w:semiHidden/>
    <w:rsid w:val="002B4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Ciae niinee-FN,SUPERS,Знак сноски 1,Текст сноски Знак Знак Знак Знак Знак Знак,Текст сноски Знак1 Знак Знак,Текст сноски Знак Знак Знак Знак,Текст сноски Знак1 Знак Знак Знак Знак,-++ Знак Знак,footnote text Знак Знак,fr"/>
    <w:rsid w:val="002B4C1A"/>
    <w:rPr>
      <w:vertAlign w:val="superscript"/>
    </w:rPr>
  </w:style>
  <w:style w:type="character" w:customStyle="1" w:styleId="1">
    <w:name w:val="Текст сноски Знак1"/>
    <w:aliases w:val="Текст сноски-FN Знак,Footnote Text Char Знак Знак Знак,Footnote Text Char Знак Знак1,Table_Footnote_last Знак Знак1,Table_Footnote_last Знак Знак Знак,Table_Footnote_last Знак1,single space Знак,footnote text Знак,Знак Знак Знак Знак"/>
    <w:link w:val="a3"/>
    <w:uiPriority w:val="99"/>
    <w:rsid w:val="002B4C1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B4C1A"/>
  </w:style>
  <w:style w:type="paragraph" w:styleId="a6">
    <w:name w:val="Balloon Text"/>
    <w:basedOn w:val="a"/>
    <w:link w:val="a7"/>
    <w:uiPriority w:val="99"/>
    <w:semiHidden/>
    <w:unhideWhenUsed/>
    <w:rsid w:val="00762F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62F5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D30C98"/>
    <w:rPr>
      <w:color w:val="0000FF"/>
      <w:u w:val="single"/>
    </w:rPr>
  </w:style>
  <w:style w:type="character" w:customStyle="1" w:styleId="3">
    <w:name w:val="Основной текст (3)_"/>
    <w:link w:val="30"/>
    <w:rsid w:val="00C947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478F"/>
    <w:pPr>
      <w:widowControl w:val="0"/>
      <w:shd w:val="clear" w:color="auto" w:fill="FFFFFF"/>
      <w:spacing w:before="1860" w:after="1080" w:line="0" w:lineRule="atLeast"/>
      <w:jc w:val="center"/>
    </w:pPr>
    <w:rPr>
      <w:b/>
      <w:bCs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264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-FN,Footnote Text Char Знак Знак,Footnote Text Char Знак,Table_Footnote_last Знак,Table_Footnote_last Знак Знак,Table_Footnote_last,single space,footnote text,Знак Знак Знак,Текст сноски Знак1 Знак,-++,-++ Знак"/>
    <w:basedOn w:val="a"/>
    <w:link w:val="1"/>
    <w:uiPriority w:val="99"/>
    <w:rsid w:val="002B4C1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uiPriority w:val="99"/>
    <w:semiHidden/>
    <w:rsid w:val="002B4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Ciae niinee-FN,SUPERS,Знак сноски 1,Текст сноски Знак Знак Знак Знак Знак Знак,Текст сноски Знак1 Знак Знак,Текст сноски Знак Знак Знак Знак,Текст сноски Знак1 Знак Знак Знак Знак,-++ Знак Знак,footnote text Знак Знак,fr"/>
    <w:rsid w:val="002B4C1A"/>
    <w:rPr>
      <w:vertAlign w:val="superscript"/>
    </w:rPr>
  </w:style>
  <w:style w:type="character" w:customStyle="1" w:styleId="1">
    <w:name w:val="Текст сноски Знак1"/>
    <w:aliases w:val="Текст сноски-FN Знак,Footnote Text Char Знак Знак Знак,Footnote Text Char Знак Знак1,Table_Footnote_last Знак Знак1,Table_Footnote_last Знак Знак Знак,Table_Footnote_last Знак1,single space Знак,footnote text Знак,Знак Знак Знак Знак"/>
    <w:link w:val="a3"/>
    <w:uiPriority w:val="99"/>
    <w:rsid w:val="002B4C1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B4C1A"/>
  </w:style>
  <w:style w:type="paragraph" w:styleId="a6">
    <w:name w:val="Balloon Text"/>
    <w:basedOn w:val="a"/>
    <w:link w:val="a7"/>
    <w:uiPriority w:val="99"/>
    <w:semiHidden/>
    <w:unhideWhenUsed/>
    <w:rsid w:val="00762F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62F5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D30C98"/>
    <w:rPr>
      <w:color w:val="0000FF"/>
      <w:u w:val="single"/>
    </w:rPr>
  </w:style>
  <w:style w:type="character" w:customStyle="1" w:styleId="3">
    <w:name w:val="Основной текст (3)_"/>
    <w:link w:val="30"/>
    <w:rsid w:val="00C947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478F"/>
    <w:pPr>
      <w:widowControl w:val="0"/>
      <w:shd w:val="clear" w:color="auto" w:fill="FFFFFF"/>
      <w:spacing w:before="1860" w:after="1080" w:line="0" w:lineRule="atLeast"/>
      <w:jc w:val="center"/>
    </w:pPr>
    <w:rPr>
      <w:b/>
      <w:bCs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2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DDDDDD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'СОЦ ОТВ-ТЬ'!$A$11:$A$15</c:f>
              <c:strCache>
                <c:ptCount val="5"/>
                <c:pt idx="0">
                  <c:v>Другое</c:v>
                </c:pt>
                <c:pt idx="1">
                  <c:v>Принципы социальной ответственности реализуются в полной мере</c:v>
                </c:pt>
                <c:pt idx="2">
                  <c:v>Бизнес не несёт дополнительной социальной нагрузки</c:v>
                </c:pt>
                <c:pt idx="3">
                  <c:v>Осуществляется только крупным бизнесом</c:v>
                </c:pt>
                <c:pt idx="4">
                  <c:v>Реализуется эпизодически</c:v>
                </c:pt>
              </c:strCache>
            </c:strRef>
          </c:cat>
          <c:val>
            <c:numRef>
              <c:f>'СОЦ ОТВ-ТЬ'!$B$11:$B$15</c:f>
              <c:numCache>
                <c:formatCode>General</c:formatCode>
                <c:ptCount val="5"/>
                <c:pt idx="0">
                  <c:v>1.1000000000000001</c:v>
                </c:pt>
                <c:pt idx="1">
                  <c:v>3.3</c:v>
                </c:pt>
                <c:pt idx="2">
                  <c:v>22.2</c:v>
                </c:pt>
                <c:pt idx="3">
                  <c:v>32.200000000000003</c:v>
                </c:pt>
                <c:pt idx="4">
                  <c:v>41.1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951616"/>
        <c:axId val="73685632"/>
      </c:barChart>
      <c:catAx>
        <c:axId val="67951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000"/>
            </a:pPr>
            <a:endParaRPr lang="ru-RU"/>
          </a:p>
        </c:txPr>
        <c:crossAx val="73685632"/>
        <c:crosses val="autoZero"/>
        <c:auto val="1"/>
        <c:lblAlgn val="ctr"/>
        <c:lblOffset val="100"/>
        <c:noMultiLvlLbl val="0"/>
      </c:catAx>
      <c:valAx>
        <c:axId val="736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7951616"/>
        <c:crosses val="autoZero"/>
        <c:crossBetween val="between"/>
        <c:majorUnit val="1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raditional Arabic" panose="02020603050405020304" pitchFamily="18" charset="-78"/>
          <a:cs typeface="Traditional Arabic" panose="02020603050405020304" pitchFamily="18" charset="-78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Лист1!$A$21</c:f>
              <c:strCache>
                <c:ptCount val="1"/>
                <c:pt idx="0">
                  <c:v>ОАО «ФосАгро»</c:v>
                </c:pt>
              </c:strCache>
            </c:strRef>
          </c:tx>
          <c:spPr>
            <a:ln w="12695">
              <a:solidFill>
                <a:sysClr val="windowText" lastClr="000000"/>
              </a:solidFill>
            </a:ln>
          </c:spPr>
          <c:marker>
            <c:symbol val="circle"/>
            <c:size val="4"/>
            <c:spPr>
              <a:solidFill>
                <a:sysClr val="window" lastClr="FFFFFF"/>
              </a:solidFill>
              <a:ln w="12695">
                <a:solidFill>
                  <a:sysClr val="windowText" lastClr="000000"/>
                </a:solidFill>
              </a:ln>
            </c:spPr>
          </c:marker>
          <c:dLbls>
            <c:dLbl>
              <c:idx val="0"/>
              <c:layout>
                <c:manualLayout>
                  <c:x val="-6.9444444444444448E-2"/>
                  <c:y val="5.55555555555555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05"/>
                  <c:y val="4.166666666666666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05"/>
                  <c:y val="-4.629629629629631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111111111111111"/>
                  <c:y val="4.629629629629629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8888888888888785E-2"/>
                  <c:y val="-5.55555555555556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7222222222222221E-2"/>
                  <c:y val="-5.092592592592588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Лист1!$B$20:$H$20</c:f>
              <c:strCache>
                <c:ptCount val="7"/>
                <c:pt idx="0">
                  <c:v>2008 г.</c:v>
                </c:pt>
                <c:pt idx="1">
                  <c:v>2009 г. 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г.</c:v>
                </c:pt>
              </c:strCache>
            </c:strRef>
          </c:cat>
          <c:val>
            <c:numRef>
              <c:f>Лист1!$B$21:$H$21</c:f>
              <c:numCache>
                <c:formatCode>General</c:formatCode>
                <c:ptCount val="7"/>
                <c:pt idx="0">
                  <c:v>1.56</c:v>
                </c:pt>
                <c:pt idx="1">
                  <c:v>0.33</c:v>
                </c:pt>
                <c:pt idx="2">
                  <c:v>1.78</c:v>
                </c:pt>
                <c:pt idx="3">
                  <c:v>1.54</c:v>
                </c:pt>
                <c:pt idx="4">
                  <c:v>1.21</c:v>
                </c:pt>
                <c:pt idx="5">
                  <c:v>1.19</c:v>
                </c:pt>
                <c:pt idx="6">
                  <c:v>1.18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Лист1!$A$22</c:f>
              <c:strCache>
                <c:ptCount val="1"/>
                <c:pt idx="0">
                  <c:v>ОАО «Акрон»</c:v>
                </c:pt>
              </c:strCache>
            </c:strRef>
          </c:tx>
          <c:spPr>
            <a:ln w="12695">
              <a:solidFill>
                <a:sysClr val="windowText" lastClr="000000"/>
              </a:solidFill>
            </a:ln>
          </c:spPr>
          <c:marker>
            <c:spPr>
              <a:solidFill>
                <a:sysClr val="window" lastClr="FFFFFF"/>
              </a:solidFill>
              <a:ln w="12695">
                <a:solidFill>
                  <a:sysClr val="windowText" lastClr="000000"/>
                </a:solidFill>
              </a:ln>
            </c:spPr>
          </c:marker>
          <c:dLbls>
            <c:dLbl>
              <c:idx val="0"/>
              <c:layout>
                <c:manualLayout>
                  <c:x val="-5.8333333333333334E-2"/>
                  <c:y val="-6.01851851851852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4444444444444446E-2"/>
                  <c:y val="-6.944444444444444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8333333333333334E-2"/>
                  <c:y val="-5.555555555555555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4444444444444446E-2"/>
                  <c:y val="-5.555555555555555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833333333333323E-2"/>
                  <c:y val="4.166666666666666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05"/>
                  <c:y val="5.092592592592592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Лист1!$B$20:$H$20</c:f>
              <c:strCache>
                <c:ptCount val="7"/>
                <c:pt idx="0">
                  <c:v>2008 г.</c:v>
                </c:pt>
                <c:pt idx="1">
                  <c:v>2009 г. 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г.</c:v>
                </c:pt>
              </c:strCache>
            </c:strRef>
          </c:cat>
          <c:val>
            <c:numRef>
              <c:f>Лист1!$B$22:$H$22</c:f>
              <c:numCache>
                <c:formatCode>General</c:formatCode>
                <c:ptCount val="7"/>
                <c:pt idx="0">
                  <c:v>1.92</c:v>
                </c:pt>
                <c:pt idx="1">
                  <c:v>0.56999999999999995</c:v>
                </c:pt>
                <c:pt idx="2">
                  <c:v>1.03</c:v>
                </c:pt>
                <c:pt idx="3">
                  <c:v>1.61</c:v>
                </c:pt>
                <c:pt idx="4">
                  <c:v>0.94</c:v>
                </c:pt>
                <c:pt idx="5">
                  <c:v>0.92</c:v>
                </c:pt>
                <c:pt idx="6">
                  <c:v>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517888"/>
        <c:axId val="114504448"/>
      </c:lineChart>
      <c:catAx>
        <c:axId val="50517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504448"/>
        <c:crosses val="autoZero"/>
        <c:auto val="1"/>
        <c:lblAlgn val="ctr"/>
        <c:lblOffset val="100"/>
        <c:noMultiLvlLbl val="0"/>
      </c:catAx>
      <c:valAx>
        <c:axId val="114504448"/>
        <c:scaling>
          <c:orientation val="minMax"/>
          <c:max val="2"/>
        </c:scaling>
        <c:delete val="0"/>
        <c:axPos val="l"/>
        <c:numFmt formatCode="General" sourceLinked="1"/>
        <c:majorTickMark val="out"/>
        <c:minorTickMark val="none"/>
        <c:tickLblPos val="nextTo"/>
        <c:crossAx val="50517888"/>
        <c:crosses val="autoZero"/>
        <c:crossBetween val="between"/>
        <c:majorUnit val="0.4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C7E3-3EDD-4817-B4AA-603D00B9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Копытова</dc:creator>
  <cp:lastModifiedBy>Екатерина Д. Разгулина</cp:lastModifiedBy>
  <cp:revision>3</cp:revision>
  <cp:lastPrinted>2016-04-25T06:55:00Z</cp:lastPrinted>
  <dcterms:created xsi:type="dcterms:W3CDTF">2016-04-26T11:20:00Z</dcterms:created>
  <dcterms:modified xsi:type="dcterms:W3CDTF">2016-04-26T11:21:00Z</dcterms:modified>
</cp:coreProperties>
</file>