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1" w:rsidRPr="00C856C6" w:rsidRDefault="00FA5871" w:rsidP="002E0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6C6">
        <w:rPr>
          <w:rFonts w:ascii="Times New Roman" w:eastAsia="Calibri" w:hAnsi="Times New Roman" w:cs="Times New Roman"/>
          <w:sz w:val="24"/>
          <w:szCs w:val="24"/>
        </w:rPr>
        <w:t>УДК 336.1</w:t>
      </w:r>
      <w:r w:rsidR="00BE2F3B" w:rsidRPr="00C856C6">
        <w:rPr>
          <w:rFonts w:ascii="Times New Roman" w:eastAsia="Calibri" w:hAnsi="Times New Roman" w:cs="Times New Roman"/>
          <w:sz w:val="24"/>
          <w:szCs w:val="24"/>
        </w:rPr>
        <w:t>45.1</w:t>
      </w:r>
      <w:r w:rsidR="00D77294" w:rsidRPr="00C85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F3B" w:rsidRPr="00C856C6">
        <w:rPr>
          <w:rFonts w:ascii="Times New Roman" w:eastAsia="Calibri" w:hAnsi="Times New Roman" w:cs="Times New Roman"/>
          <w:sz w:val="24"/>
          <w:szCs w:val="24"/>
        </w:rPr>
        <w:t>/ ББК 65.261.783</w:t>
      </w:r>
    </w:p>
    <w:p w:rsidR="00FD5770" w:rsidRPr="00C856C6" w:rsidRDefault="00FD5770" w:rsidP="002E0C0B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56C6">
        <w:rPr>
          <w:rFonts w:ascii="Times New Roman" w:hAnsi="Times New Roman" w:cs="Times New Roman"/>
          <w:b/>
          <w:sz w:val="24"/>
          <w:szCs w:val="24"/>
        </w:rPr>
        <w:t>Микляева К.А.</w:t>
      </w:r>
    </w:p>
    <w:p w:rsidR="00E825C1" w:rsidRPr="00C856C6" w:rsidRDefault="006B6CFA" w:rsidP="002E0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C6">
        <w:rPr>
          <w:rFonts w:ascii="Times New Roman" w:hAnsi="Times New Roman" w:cs="Times New Roman"/>
          <w:b/>
          <w:sz w:val="24"/>
          <w:szCs w:val="24"/>
        </w:rPr>
        <w:t>МЕТОДИЧЕСКИЕ АСПЕКТЫ ОЦЕНКИ БЮДЖЕТНОГО ПОТЕНЦИАЛА МУНИЦИПАЛЬНЫХ ОБРАЗОВАНИЙ</w:t>
      </w:r>
    </w:p>
    <w:p w:rsidR="00FD5770" w:rsidRPr="00C856C6" w:rsidRDefault="00FD5770" w:rsidP="002E0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70" w:rsidRPr="00C856C6" w:rsidRDefault="009E2354" w:rsidP="009E23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6C6">
        <w:rPr>
          <w:rFonts w:ascii="Times New Roman" w:hAnsi="Times New Roman"/>
          <w:i/>
          <w:sz w:val="24"/>
          <w:szCs w:val="24"/>
        </w:rPr>
        <w:t>В статье охарактеризовано современное состояние и проблемы бюджетной системы муниципальных образований в России.</w:t>
      </w:r>
      <w:r w:rsidR="00841A17" w:rsidRPr="00C85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6C6">
        <w:rPr>
          <w:rFonts w:ascii="Times New Roman" w:hAnsi="Times New Roman" w:cs="Times New Roman"/>
          <w:i/>
          <w:sz w:val="24"/>
          <w:szCs w:val="24"/>
        </w:rPr>
        <w:t>И</w:t>
      </w:r>
      <w:r w:rsidR="00F57073" w:rsidRPr="00C856C6">
        <w:rPr>
          <w:rFonts w:ascii="Times New Roman" w:hAnsi="Times New Roman" w:cs="Times New Roman"/>
          <w:i/>
          <w:sz w:val="24"/>
          <w:szCs w:val="24"/>
        </w:rPr>
        <w:t xml:space="preserve">сследован </w:t>
      </w:r>
      <w:r w:rsidR="00841A17" w:rsidRPr="00C856C6">
        <w:rPr>
          <w:rFonts w:ascii="Times New Roman" w:hAnsi="Times New Roman" w:cs="Times New Roman"/>
          <w:i/>
          <w:sz w:val="24"/>
          <w:szCs w:val="24"/>
        </w:rPr>
        <w:t xml:space="preserve">методический инструментарий </w:t>
      </w:r>
      <w:r w:rsidRPr="00C856C6">
        <w:rPr>
          <w:rFonts w:ascii="Times New Roman" w:hAnsi="Times New Roman" w:cs="Times New Roman"/>
          <w:i/>
          <w:sz w:val="24"/>
          <w:szCs w:val="24"/>
        </w:rPr>
        <w:t>оценки бюджетного потенциала муниципальных образований</w:t>
      </w:r>
      <w:r w:rsidR="00FD5770" w:rsidRPr="00C856C6">
        <w:rPr>
          <w:rFonts w:ascii="Times New Roman" w:hAnsi="Times New Roman" w:cs="Times New Roman"/>
          <w:i/>
          <w:sz w:val="24"/>
          <w:szCs w:val="24"/>
        </w:rPr>
        <w:t>. Разработана методика оценки бюджетного поте</w:t>
      </w:r>
      <w:r w:rsidRPr="00C856C6">
        <w:rPr>
          <w:rFonts w:ascii="Times New Roman" w:hAnsi="Times New Roman" w:cs="Times New Roman"/>
          <w:i/>
          <w:sz w:val="24"/>
          <w:szCs w:val="24"/>
        </w:rPr>
        <w:t>нциала муниципалитетов</w:t>
      </w:r>
      <w:r w:rsidR="00FD5770" w:rsidRPr="00C856C6">
        <w:rPr>
          <w:rFonts w:ascii="Times New Roman" w:hAnsi="Times New Roman" w:cs="Times New Roman"/>
          <w:i/>
          <w:sz w:val="24"/>
          <w:szCs w:val="24"/>
        </w:rPr>
        <w:t>.</w:t>
      </w:r>
    </w:p>
    <w:p w:rsidR="00FA5871" w:rsidRPr="00C856C6" w:rsidRDefault="009E2354" w:rsidP="002E0C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6C6">
        <w:rPr>
          <w:rFonts w:ascii="Times New Roman" w:hAnsi="Times New Roman"/>
          <w:b/>
          <w:i/>
          <w:sz w:val="24"/>
          <w:szCs w:val="24"/>
        </w:rPr>
        <w:t xml:space="preserve">Ключевые слова: </w:t>
      </w:r>
      <w:r w:rsidR="00FA5871" w:rsidRPr="00C856C6">
        <w:rPr>
          <w:rFonts w:ascii="Times New Roman" w:hAnsi="Times New Roman" w:cs="Times New Roman"/>
          <w:i/>
          <w:sz w:val="24"/>
          <w:szCs w:val="24"/>
        </w:rPr>
        <w:t>Муниципальное образование, местное самоуправление, бюджет муниципального образования, финансовая самостоятельность, бюджетный потенциал, интегральный показатель</w:t>
      </w:r>
      <w:r w:rsidR="00841A17" w:rsidRPr="00C856C6">
        <w:rPr>
          <w:rFonts w:ascii="Times New Roman" w:hAnsi="Times New Roman" w:cs="Times New Roman"/>
          <w:i/>
          <w:sz w:val="24"/>
          <w:szCs w:val="24"/>
        </w:rPr>
        <w:t>.</w:t>
      </w:r>
    </w:p>
    <w:p w:rsidR="00FD5770" w:rsidRPr="00C856C6" w:rsidRDefault="00FD5770" w:rsidP="002E0C0B">
      <w:pPr>
        <w:tabs>
          <w:tab w:val="left" w:pos="5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6C6">
        <w:rPr>
          <w:rFonts w:ascii="Times New Roman" w:hAnsi="Times New Roman" w:cs="Times New Roman"/>
          <w:b/>
          <w:sz w:val="24"/>
          <w:szCs w:val="24"/>
        </w:rPr>
        <w:tab/>
      </w:r>
    </w:p>
    <w:p w:rsidR="00E825C1" w:rsidRPr="00C856C6" w:rsidRDefault="00E825C1" w:rsidP="002E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</w:rPr>
        <w:t>Поступательное социально-экономическое развитие территорий во многом определяется эффективностью проводимой государством финансовой политики, основной составляющей которой является бюджетн</w:t>
      </w:r>
      <w:r w:rsidR="00970EC7" w:rsidRPr="00C856C6">
        <w:rPr>
          <w:rFonts w:ascii="Times New Roman" w:hAnsi="Times New Roman" w:cs="Times New Roman"/>
          <w:sz w:val="24"/>
          <w:szCs w:val="24"/>
        </w:rPr>
        <w:t>ый механизм</w:t>
      </w:r>
      <w:r w:rsidR="00A82852" w:rsidRPr="00C856C6">
        <w:rPr>
          <w:rFonts w:ascii="Times New Roman" w:hAnsi="Times New Roman" w:cs="Times New Roman"/>
          <w:sz w:val="24"/>
          <w:szCs w:val="24"/>
        </w:rPr>
        <w:t>.</w:t>
      </w:r>
      <w:r w:rsidR="0049226A" w:rsidRPr="00C856C6">
        <w:rPr>
          <w:rFonts w:ascii="Times New Roman" w:hAnsi="Times New Roman" w:cs="Times New Roman"/>
          <w:sz w:val="24"/>
          <w:szCs w:val="24"/>
        </w:rPr>
        <w:t xml:space="preserve"> </w:t>
      </w:r>
      <w:r w:rsidR="00A82852" w:rsidRPr="00C856C6">
        <w:rPr>
          <w:rFonts w:ascii="Times New Roman" w:hAnsi="Times New Roman" w:cs="Times New Roman"/>
          <w:sz w:val="24"/>
          <w:szCs w:val="24"/>
        </w:rPr>
        <w:t xml:space="preserve">Бюджетная система </w:t>
      </w:r>
      <w:r w:rsidR="000D0676" w:rsidRPr="00C856C6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175D46" w:rsidRPr="00C856C6">
        <w:rPr>
          <w:rFonts w:ascii="Times New Roman" w:hAnsi="Times New Roman" w:cs="Times New Roman"/>
          <w:sz w:val="24"/>
          <w:szCs w:val="24"/>
        </w:rPr>
        <w:t xml:space="preserve">как финансовая база для осуществления полномочий органов местного самоуправления </w:t>
      </w:r>
      <w:r w:rsidR="00A82852" w:rsidRPr="00C856C6">
        <w:rPr>
          <w:rFonts w:ascii="Times New Roman" w:hAnsi="Times New Roman" w:cs="Times New Roman"/>
          <w:sz w:val="24"/>
          <w:szCs w:val="24"/>
        </w:rPr>
        <w:t>имеет</w:t>
      </w:r>
      <w:r w:rsidR="000D0676" w:rsidRPr="00C856C6">
        <w:rPr>
          <w:rFonts w:ascii="Times New Roman" w:hAnsi="Times New Roman" w:cs="Times New Roman"/>
          <w:sz w:val="24"/>
          <w:szCs w:val="24"/>
        </w:rPr>
        <w:t xml:space="preserve"> особенно </w:t>
      </w:r>
      <w:proofErr w:type="gramStart"/>
      <w:r w:rsidR="000D0676" w:rsidRPr="00C856C6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0D0676" w:rsidRPr="00C856C6">
        <w:rPr>
          <w:rFonts w:ascii="Times New Roman" w:hAnsi="Times New Roman" w:cs="Times New Roman"/>
          <w:sz w:val="24"/>
          <w:szCs w:val="24"/>
        </w:rPr>
        <w:t xml:space="preserve"> </w:t>
      </w:r>
      <w:r w:rsidR="00A82852" w:rsidRPr="00C856C6">
        <w:rPr>
          <w:rFonts w:ascii="Times New Roman" w:hAnsi="Times New Roman" w:cs="Times New Roman"/>
          <w:sz w:val="24"/>
          <w:szCs w:val="24"/>
        </w:rPr>
        <w:t xml:space="preserve">для развития экономики России как </w:t>
      </w:r>
      <w:r w:rsidR="0062690D" w:rsidRPr="00C856C6">
        <w:rPr>
          <w:rFonts w:ascii="Times New Roman" w:hAnsi="Times New Roman" w:cs="Times New Roman"/>
          <w:sz w:val="24"/>
          <w:szCs w:val="24"/>
        </w:rPr>
        <w:t>федеративного демократического государства.</w:t>
      </w:r>
    </w:p>
    <w:p w:rsidR="00E825C1" w:rsidRPr="00C856C6" w:rsidRDefault="004D2CF9" w:rsidP="002E0C0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</w:rPr>
        <w:t>2003 год</w:t>
      </w:r>
      <w:r w:rsidR="00AB70D4" w:rsidRPr="00C856C6">
        <w:rPr>
          <w:rFonts w:ascii="Times New Roman" w:hAnsi="Times New Roman" w:cs="Times New Roman"/>
          <w:sz w:val="24"/>
          <w:szCs w:val="24"/>
        </w:rPr>
        <w:t xml:space="preserve"> положил начало реформе местного самоуправления в России. С 1 января 2006 г. положения Федерального закона от 6 октября 2003 г. N 131-ФЗ «Об общих принципах организации местного самоуправления в Р</w:t>
      </w:r>
      <w:r w:rsidR="0062690D" w:rsidRPr="00C856C6">
        <w:rPr>
          <w:rFonts w:ascii="Times New Roman" w:hAnsi="Times New Roman" w:cs="Times New Roman"/>
          <w:sz w:val="24"/>
          <w:szCs w:val="24"/>
        </w:rPr>
        <w:t>Ф</w:t>
      </w:r>
      <w:r w:rsidR="00AB70D4" w:rsidRPr="00C856C6">
        <w:rPr>
          <w:rFonts w:ascii="Times New Roman" w:hAnsi="Times New Roman" w:cs="Times New Roman"/>
          <w:sz w:val="24"/>
          <w:szCs w:val="24"/>
        </w:rPr>
        <w:t>» ре</w:t>
      </w:r>
      <w:r w:rsidR="0062690D" w:rsidRPr="00C856C6">
        <w:rPr>
          <w:rFonts w:ascii="Times New Roman" w:hAnsi="Times New Roman" w:cs="Times New Roman"/>
          <w:sz w:val="24"/>
          <w:szCs w:val="24"/>
        </w:rPr>
        <w:t>ализуются во всех субъектах Российской Федерации</w:t>
      </w:r>
      <w:r w:rsidR="00DA1D56" w:rsidRPr="00C856C6">
        <w:rPr>
          <w:rFonts w:ascii="Times New Roman" w:hAnsi="Times New Roman" w:cs="Times New Roman"/>
          <w:sz w:val="24"/>
          <w:szCs w:val="24"/>
        </w:rPr>
        <w:t xml:space="preserve">. </w:t>
      </w:r>
      <w:r w:rsidRPr="00C856C6">
        <w:rPr>
          <w:rFonts w:ascii="Times New Roman" w:hAnsi="Times New Roman" w:cs="Times New Roman"/>
          <w:sz w:val="24"/>
          <w:szCs w:val="24"/>
        </w:rPr>
        <w:t>В результате</w:t>
      </w:r>
      <w:r w:rsidR="00841A17" w:rsidRPr="00C856C6">
        <w:rPr>
          <w:rFonts w:ascii="Times New Roman" w:hAnsi="Times New Roman" w:cs="Times New Roman"/>
          <w:sz w:val="24"/>
          <w:szCs w:val="24"/>
        </w:rPr>
        <w:t xml:space="preserve"> реформирования</w:t>
      </w:r>
      <w:r w:rsidRPr="00C856C6">
        <w:rPr>
          <w:rFonts w:ascii="Times New Roman" w:hAnsi="Times New Roman" w:cs="Times New Roman"/>
          <w:sz w:val="24"/>
          <w:szCs w:val="24"/>
        </w:rPr>
        <w:t xml:space="preserve"> была </w:t>
      </w:r>
      <w:r w:rsidR="00841A17" w:rsidRPr="00C856C6">
        <w:rPr>
          <w:rFonts w:ascii="Times New Roman" w:hAnsi="Times New Roman" w:cs="Times New Roman"/>
          <w:sz w:val="24"/>
          <w:szCs w:val="24"/>
        </w:rPr>
        <w:t>унифицирована территориальная организация местной власти в стране.</w:t>
      </w:r>
    </w:p>
    <w:p w:rsidR="004D2CF9" w:rsidRPr="00C856C6" w:rsidRDefault="004D2CF9" w:rsidP="002E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Тем не менее, </w:t>
      </w:r>
      <w:r w:rsidR="003F2211" w:rsidRPr="00C856C6">
        <w:rPr>
          <w:rFonts w:ascii="Times New Roman" w:eastAsia="TimesNewRomanPSMT" w:hAnsi="Times New Roman" w:cs="Times New Roman"/>
          <w:sz w:val="24"/>
          <w:szCs w:val="24"/>
        </w:rPr>
        <w:t xml:space="preserve">в настоящее время сохранилась тенденция к централизации налоговых доходов в федеральном бюджете. К местным налогам с 2005 года стали относиться только земельный налог и налог на имущество физических лиц, сократился перечень и нормативы отчислений от федеральных и региональных налогов в местные бюджеты. Это привело </w:t>
      </w:r>
      <w:r w:rsidR="00E250CF" w:rsidRPr="00C856C6">
        <w:rPr>
          <w:rFonts w:ascii="Times New Roman" w:eastAsia="TimesNewRomanPSMT" w:hAnsi="Times New Roman" w:cs="Times New Roman"/>
          <w:sz w:val="24"/>
          <w:szCs w:val="24"/>
        </w:rPr>
        <w:t>к недостаточности собственной доходной базы местных бюджетов, росту их дотационности и снижению их финансовой самостоятельности.</w:t>
      </w:r>
      <w:r w:rsidR="00002DC2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33F0F" w:rsidRPr="00C856C6">
        <w:rPr>
          <w:rFonts w:ascii="Times New Roman" w:eastAsia="TimesNewRomanPSMT" w:hAnsi="Times New Roman" w:cs="Times New Roman"/>
          <w:sz w:val="24"/>
          <w:szCs w:val="24"/>
        </w:rPr>
        <w:t xml:space="preserve">Доля безвозмездных поступлений от других уровней бюджетной системы в объеме доходов бюджетов муниципальных образований </w:t>
      </w:r>
      <w:r w:rsidR="007521D8" w:rsidRPr="00C856C6">
        <w:rPr>
          <w:rFonts w:ascii="Times New Roman" w:eastAsia="TimesNewRomanPSMT" w:hAnsi="Times New Roman" w:cs="Times New Roman"/>
          <w:sz w:val="24"/>
          <w:szCs w:val="24"/>
        </w:rPr>
        <w:t>за</w:t>
      </w:r>
      <w:r w:rsidR="00033F0F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2011</w:t>
      </w:r>
      <w:r w:rsidR="00F57073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521D8" w:rsidRPr="00C856C6">
        <w:rPr>
          <w:rFonts w:ascii="Times New Roman" w:eastAsia="TimesNewRomanPSMT" w:hAnsi="Times New Roman" w:cs="Times New Roman"/>
          <w:sz w:val="24"/>
          <w:szCs w:val="24"/>
        </w:rPr>
        <w:t>– 2015 гг. превышала 60 % (таблица 1).</w:t>
      </w:r>
      <w:r w:rsidR="00033F0F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521D8" w:rsidRPr="00C856C6">
        <w:rPr>
          <w:rFonts w:ascii="Times New Roman" w:eastAsia="TimesNewRomanPSMT" w:hAnsi="Times New Roman" w:cs="Times New Roman"/>
          <w:sz w:val="24"/>
          <w:szCs w:val="24"/>
        </w:rPr>
        <w:t xml:space="preserve">При этом за данный период возрос как удельный вес межбюджетных трансфертов в доходах местных бюджетов (на 2,7%), так и </w:t>
      </w:r>
      <w:r w:rsidR="00D3350E" w:rsidRPr="00C856C6">
        <w:rPr>
          <w:rFonts w:ascii="Times New Roman" w:eastAsia="TimesNewRomanPSMT" w:hAnsi="Times New Roman" w:cs="Times New Roman"/>
          <w:sz w:val="24"/>
          <w:szCs w:val="24"/>
        </w:rPr>
        <w:t xml:space="preserve">их объем в абсолютном выражении </w:t>
      </w:r>
      <w:r w:rsidR="00D3350E" w:rsidRPr="00C856C6">
        <w:rPr>
          <w:rFonts w:ascii="Times New Roman" w:hAnsi="Times New Roman" w:cs="Times New Roman"/>
          <w:sz w:val="24"/>
          <w:szCs w:val="24"/>
        </w:rPr>
        <w:t>– с 1799,33 млрд. руб. в 2011 году до 2219,81 млрд. руб. в 2015 году.</w:t>
      </w:r>
    </w:p>
    <w:p w:rsidR="000E782F" w:rsidRPr="00C856C6" w:rsidRDefault="000E782F" w:rsidP="002E0C0B">
      <w:pPr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7521D8" w:rsidRPr="00C856C6" w:rsidRDefault="00D3350E" w:rsidP="002E0C0B">
      <w:pPr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i/>
          <w:sz w:val="24"/>
          <w:szCs w:val="24"/>
        </w:rPr>
        <w:t>Т</w:t>
      </w:r>
      <w:r w:rsidR="007521D8" w:rsidRPr="00C856C6">
        <w:rPr>
          <w:rFonts w:ascii="Times New Roman" w:eastAsia="TimesNewRomanPSMT" w:hAnsi="Times New Roman" w:cs="Times New Roman"/>
          <w:i/>
          <w:sz w:val="24"/>
          <w:szCs w:val="24"/>
        </w:rPr>
        <w:t>аблица</w:t>
      </w:r>
      <w:r w:rsidRPr="00C856C6">
        <w:rPr>
          <w:rFonts w:ascii="Times New Roman" w:eastAsia="TimesNewRomanPSMT" w:hAnsi="Times New Roman" w:cs="Times New Roman"/>
          <w:i/>
          <w:sz w:val="24"/>
          <w:szCs w:val="24"/>
        </w:rPr>
        <w:t xml:space="preserve"> 1</w:t>
      </w:r>
    </w:p>
    <w:p w:rsidR="00D3350E" w:rsidRPr="00C856C6" w:rsidRDefault="000E782F" w:rsidP="002E0C0B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>Объем и с</w:t>
      </w:r>
      <w:r w:rsidR="00D3350E" w:rsidRPr="00C856C6">
        <w:rPr>
          <w:rFonts w:ascii="Times New Roman" w:eastAsia="TimesNewRomanPSMT" w:hAnsi="Times New Roman" w:cs="Times New Roman"/>
          <w:sz w:val="24"/>
          <w:szCs w:val="24"/>
        </w:rPr>
        <w:t>труктура доходов местных бюджетов в России за 2011 – 2015 гг.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856"/>
        <w:gridCol w:w="850"/>
        <w:gridCol w:w="852"/>
        <w:gridCol w:w="850"/>
        <w:gridCol w:w="985"/>
      </w:tblGrid>
      <w:tr w:rsidR="0049226A" w:rsidRPr="00C856C6" w:rsidTr="004A09D7">
        <w:trPr>
          <w:trHeight w:val="300"/>
        </w:trPr>
        <w:tc>
          <w:tcPr>
            <w:tcW w:w="2721" w:type="pct"/>
            <w:shd w:val="clear" w:color="auto" w:fill="auto"/>
            <w:noWrap/>
            <w:vAlign w:val="bottom"/>
            <w:hideMark/>
          </w:tcPr>
          <w:p w:rsidR="00D3350E" w:rsidRPr="00C856C6" w:rsidRDefault="0049226A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49226A" w:rsidRPr="00C856C6" w:rsidTr="004A09D7">
        <w:trPr>
          <w:trHeight w:val="300"/>
        </w:trPr>
        <w:tc>
          <w:tcPr>
            <w:tcW w:w="2721" w:type="pct"/>
            <w:shd w:val="clear" w:color="auto" w:fill="auto"/>
            <w:noWrap/>
            <w:vAlign w:val="bottom"/>
            <w:hideMark/>
          </w:tcPr>
          <w:p w:rsidR="000E782F" w:rsidRPr="00C856C6" w:rsidRDefault="000E782F" w:rsidP="002E0C0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местного бюджета</w:t>
            </w:r>
            <w:r w:rsidR="00C45CC9"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млрд. руб.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0E782F" w:rsidRPr="00C856C6" w:rsidRDefault="000E782F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2964,0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E782F" w:rsidRPr="00C856C6" w:rsidRDefault="000E782F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2964,0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0E782F" w:rsidRPr="00C856C6" w:rsidRDefault="000E782F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3390,</w:t>
            </w:r>
            <w:r w:rsidR="005714B8"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E782F" w:rsidRPr="00C856C6" w:rsidRDefault="000E782F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3512,2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0E782F" w:rsidRPr="00C856C6" w:rsidRDefault="000E782F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3500,4</w:t>
            </w:r>
          </w:p>
        </w:tc>
      </w:tr>
      <w:tr w:rsidR="0049226A" w:rsidRPr="00C856C6" w:rsidTr="004A09D7">
        <w:trPr>
          <w:trHeight w:val="300"/>
        </w:trPr>
        <w:tc>
          <w:tcPr>
            <w:tcW w:w="2721" w:type="pct"/>
            <w:shd w:val="clear" w:color="auto" w:fill="auto"/>
            <w:noWrap/>
            <w:vAlign w:val="bottom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  <w:r w:rsidR="00C45CC9"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млрд. руб.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1799,3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2070,1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2239,3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2219,8</w:t>
            </w:r>
          </w:p>
        </w:tc>
      </w:tr>
      <w:tr w:rsidR="0049226A" w:rsidRPr="00C856C6" w:rsidTr="004A09D7">
        <w:trPr>
          <w:trHeight w:val="300"/>
        </w:trPr>
        <w:tc>
          <w:tcPr>
            <w:tcW w:w="2721" w:type="pct"/>
            <w:shd w:val="clear" w:color="auto" w:fill="auto"/>
            <w:noWrap/>
            <w:vAlign w:val="bottom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  <w:r w:rsidR="00C45CC9"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млрд. руб.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1164,7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</w:t>
            </w:r>
            <w:r w:rsidR="0049226A"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1272,</w:t>
            </w:r>
            <w:r w:rsidR="0049226A"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3350E" w:rsidRPr="00C856C6" w:rsidRDefault="0049226A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1280,6</w:t>
            </w:r>
          </w:p>
        </w:tc>
      </w:tr>
      <w:tr w:rsidR="0049226A" w:rsidRPr="00C856C6" w:rsidTr="004A09D7">
        <w:trPr>
          <w:trHeight w:val="300"/>
        </w:trPr>
        <w:tc>
          <w:tcPr>
            <w:tcW w:w="2721" w:type="pct"/>
            <w:shd w:val="clear" w:color="auto" w:fill="auto"/>
            <w:noWrap/>
            <w:vAlign w:val="bottom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налоговых и неналоговых доходов</w:t>
            </w:r>
            <w:r w:rsidR="00C45CC9"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совокупном объеме доходов местных бюджетов в России, %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3350E" w:rsidRPr="00C856C6" w:rsidRDefault="00D3350E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49226A" w:rsidRPr="00C856C6" w:rsidTr="004A09D7">
        <w:trPr>
          <w:trHeight w:val="300"/>
        </w:trPr>
        <w:tc>
          <w:tcPr>
            <w:tcW w:w="2721" w:type="pct"/>
            <w:shd w:val="clear" w:color="auto" w:fill="auto"/>
            <w:noWrap/>
            <w:vAlign w:val="bottom"/>
            <w:hideMark/>
          </w:tcPr>
          <w:p w:rsidR="00C45CC9" w:rsidRPr="00C856C6" w:rsidRDefault="00C45CC9" w:rsidP="002E0C0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межбюджетных трансфертов в совокупном объеме доходов местных бюджетов в России, % 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C45CC9" w:rsidRPr="00C856C6" w:rsidRDefault="00C45CC9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C45CC9" w:rsidRPr="00C856C6" w:rsidRDefault="00C45CC9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C45CC9" w:rsidRPr="00C856C6" w:rsidRDefault="00C45CC9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C45CC9" w:rsidRPr="00C856C6" w:rsidRDefault="00C45CC9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C45CC9" w:rsidRPr="00C856C6" w:rsidRDefault="00C45CC9" w:rsidP="002E0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4A09D7" w:rsidRPr="00C856C6" w:rsidTr="004A09D7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4A09D7" w:rsidRPr="00C856C6" w:rsidRDefault="004A09D7" w:rsidP="004A09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Источник: рассчитано автором по данным Федерального Казначейства РФ</w:t>
            </w:r>
          </w:p>
        </w:tc>
      </w:tr>
    </w:tbl>
    <w:p w:rsidR="002519C4" w:rsidRPr="00C856C6" w:rsidRDefault="002519C4" w:rsidP="002E0C0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4385E" w:rsidRPr="004B214D" w:rsidRDefault="008726F3" w:rsidP="002E0C0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>Негативные тенденции в развитии бюджетной системы страны, в том числе и</w:t>
      </w:r>
      <w:r w:rsidR="006E6B6A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при формировании и исполнении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местных бюджетов являются примером недостаточной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lastRenderedPageBreak/>
        <w:t>эффективности государственного управления в последние годы [</w:t>
      </w:r>
      <w:r w:rsidR="00611A38" w:rsidRPr="00C856C6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467537" w:rsidRPr="00C856C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467537" w:rsidRPr="00C856C6">
        <w:rPr>
          <w:rFonts w:ascii="Times New Roman" w:eastAsia="TimesNewRomanPSMT" w:hAnsi="Times New Roman" w:cs="Times New Roman"/>
          <w:sz w:val="24"/>
          <w:szCs w:val="24"/>
          <w:lang w:val="en-US"/>
        </w:rPr>
        <w:t>c</w:t>
      </w:r>
      <w:r w:rsidR="00467537" w:rsidRPr="00C856C6">
        <w:rPr>
          <w:rFonts w:ascii="Times New Roman" w:eastAsia="TimesNewRomanPSMT" w:hAnsi="Times New Roman" w:cs="Times New Roman"/>
          <w:sz w:val="24"/>
          <w:szCs w:val="24"/>
        </w:rPr>
        <w:t>. 70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>]</w:t>
      </w:r>
      <w:r w:rsidR="00467537" w:rsidRPr="00C856C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2F18DD" w:rsidRPr="00C856C6">
        <w:rPr>
          <w:rFonts w:ascii="Times New Roman" w:eastAsia="TimesNewRomanPSMT" w:hAnsi="Times New Roman" w:cs="Times New Roman"/>
          <w:sz w:val="24"/>
          <w:szCs w:val="24"/>
        </w:rPr>
        <w:t>Снижение финансовой самостоятельности бюджетов муниципальных образований</w:t>
      </w:r>
      <w:r w:rsidR="00611A38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3821" w:rsidRPr="00C856C6">
        <w:rPr>
          <w:rFonts w:ascii="Times New Roman" w:eastAsia="TimesNewRomanPSMT" w:hAnsi="Times New Roman" w:cs="Times New Roman"/>
          <w:sz w:val="24"/>
          <w:szCs w:val="24"/>
        </w:rPr>
        <w:t>делает</w:t>
      </w:r>
      <w:r w:rsidR="002F18DD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E6B6A" w:rsidRPr="00C856C6">
        <w:rPr>
          <w:rFonts w:ascii="Times New Roman" w:eastAsia="TimesNewRomanPSMT" w:hAnsi="Times New Roman" w:cs="Times New Roman"/>
          <w:sz w:val="24"/>
          <w:szCs w:val="24"/>
        </w:rPr>
        <w:t>актуальным решение проблемы</w:t>
      </w:r>
      <w:r w:rsidR="00213821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оценки использования и разработки методов повышения бюдже</w:t>
      </w:r>
      <w:r w:rsidR="000810FC" w:rsidRPr="00C856C6">
        <w:rPr>
          <w:rFonts w:ascii="Times New Roman" w:eastAsia="TimesNewRomanPSMT" w:hAnsi="Times New Roman" w:cs="Times New Roman"/>
          <w:sz w:val="24"/>
          <w:szCs w:val="24"/>
        </w:rPr>
        <w:t>тного потенциала муниципальных образований</w:t>
      </w:r>
      <w:r w:rsidR="00213821" w:rsidRPr="00C856C6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810FC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A09D7" w:rsidRPr="00C856C6">
        <w:rPr>
          <w:rFonts w:ascii="Times New Roman" w:eastAsia="TimesNewRomanPSMT" w:hAnsi="Times New Roman" w:cs="Times New Roman"/>
          <w:sz w:val="24"/>
          <w:szCs w:val="24"/>
        </w:rPr>
        <w:t xml:space="preserve">Бюджетный потенциал является одной из ключевых составляющих социально-экономического потенциала территорий [4, </w:t>
      </w:r>
      <w:r w:rsidR="004A09D7" w:rsidRPr="00C856C6">
        <w:rPr>
          <w:rFonts w:ascii="Times New Roman" w:eastAsia="TimesNewRomanPSMT" w:hAnsi="Times New Roman" w:cs="Times New Roman"/>
          <w:sz w:val="24"/>
          <w:szCs w:val="24"/>
          <w:lang w:val="en-US"/>
        </w:rPr>
        <w:t>c</w:t>
      </w:r>
      <w:r w:rsidR="004A09D7" w:rsidRPr="00C856C6">
        <w:rPr>
          <w:rFonts w:ascii="Times New Roman" w:eastAsia="TimesNewRomanPSMT" w:hAnsi="Times New Roman" w:cs="Times New Roman"/>
          <w:sz w:val="24"/>
          <w:szCs w:val="24"/>
        </w:rPr>
        <w:t xml:space="preserve">. 60]. </w:t>
      </w:r>
      <w:r w:rsidR="009E2354" w:rsidRPr="00C856C6">
        <w:rPr>
          <w:rFonts w:ascii="Times New Roman" w:eastAsia="TimesNewRomanPSMT" w:hAnsi="Times New Roman" w:cs="Times New Roman"/>
          <w:sz w:val="24"/>
          <w:szCs w:val="24"/>
        </w:rPr>
        <w:t>Задачей</w:t>
      </w:r>
      <w:r w:rsidR="00A72A79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органов местного</w:t>
      </w:r>
      <w:r w:rsidR="001E7EBF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самоуправления должно являться</w:t>
      </w:r>
      <w:r w:rsidR="00A72A79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наиболее полное использование как фактического, так и возможного бюджетного потен</w:t>
      </w:r>
      <w:r w:rsidR="00394E00" w:rsidRPr="00C856C6">
        <w:rPr>
          <w:rFonts w:ascii="Times New Roman" w:eastAsia="TimesNewRomanPSMT" w:hAnsi="Times New Roman" w:cs="Times New Roman"/>
          <w:sz w:val="24"/>
          <w:szCs w:val="24"/>
        </w:rPr>
        <w:t>циала подотчетных им территорий.</w:t>
      </w:r>
      <w:r w:rsidR="00A72A79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F62B7" w:rsidRPr="00C856C6" w:rsidRDefault="00882236" w:rsidP="002E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>В Бюджетном кодексе РФ как основном нормативном документе, регулирующем бюджетный механизм</w:t>
      </w:r>
      <w:r w:rsidR="00A9642A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в России, не содержится определения понятия «бюджетный потенциал», он рассматривается только в контексте определения уровня бюджетной обеспеченности.</w:t>
      </w:r>
      <w:r w:rsidR="00B14A25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14A25" w:rsidRPr="00C856C6">
        <w:rPr>
          <w:rFonts w:ascii="Times New Roman" w:hAnsi="Times New Roman" w:cs="Times New Roman"/>
          <w:sz w:val="24"/>
          <w:szCs w:val="24"/>
        </w:rPr>
        <w:t>В нормативно-правовых актах субъектов РФ, регламентирующих бюджетный механизм в регионах</w:t>
      </w:r>
      <w:r w:rsidR="00394E00" w:rsidRPr="00C856C6">
        <w:rPr>
          <w:rFonts w:ascii="Times New Roman" w:hAnsi="Times New Roman" w:cs="Times New Roman"/>
          <w:sz w:val="24"/>
          <w:szCs w:val="24"/>
        </w:rPr>
        <w:t>,</w:t>
      </w:r>
      <w:r w:rsidR="00B14A25" w:rsidRPr="00C856C6">
        <w:rPr>
          <w:rFonts w:ascii="Times New Roman" w:hAnsi="Times New Roman" w:cs="Times New Roman"/>
          <w:sz w:val="24"/>
          <w:szCs w:val="24"/>
        </w:rPr>
        <w:t xml:space="preserve"> также отсутствует четкое определение бюджетного потенциала территорий. </w:t>
      </w:r>
    </w:p>
    <w:p w:rsidR="00BE4661" w:rsidRPr="00C856C6" w:rsidRDefault="00BE4661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</w:rPr>
        <w:t>С</w:t>
      </w:r>
      <w:r w:rsidR="00CB35B2" w:rsidRPr="00C856C6">
        <w:rPr>
          <w:rFonts w:ascii="Times New Roman" w:hAnsi="Times New Roman" w:cs="Times New Roman"/>
          <w:sz w:val="24"/>
          <w:szCs w:val="24"/>
        </w:rPr>
        <w:t xml:space="preserve">овременными исследователями предложены различные толкования понятия «бюджетный потенциал», но в научной литературе отсутствует системный подход к данному определению, его однозначная трактовка. </w:t>
      </w:r>
      <w:r w:rsidR="00CB35B2" w:rsidRPr="00C856C6">
        <w:rPr>
          <w:rFonts w:ascii="Times New Roman" w:eastAsia="TimesNewRomanPSMT" w:hAnsi="Times New Roman" w:cs="Times New Roman"/>
          <w:sz w:val="24"/>
          <w:szCs w:val="24"/>
        </w:rPr>
        <w:t>Чаще всего в исследованиях сформулировано определение бюджетного потенциала регионов, а понятию бюджетного потенциала муниципальных образ</w:t>
      </w:r>
      <w:r w:rsidR="00394E00" w:rsidRPr="00C856C6">
        <w:rPr>
          <w:rFonts w:ascii="Times New Roman" w:eastAsia="TimesNewRomanPSMT" w:hAnsi="Times New Roman" w:cs="Times New Roman"/>
          <w:sz w:val="24"/>
          <w:szCs w:val="24"/>
        </w:rPr>
        <w:t xml:space="preserve">ований </w:t>
      </w:r>
      <w:r w:rsidR="00394E00" w:rsidRPr="00C856C6">
        <w:rPr>
          <w:rFonts w:ascii="Times New Roman" w:hAnsi="Times New Roman" w:cs="Times New Roman"/>
          <w:sz w:val="24"/>
          <w:szCs w:val="24"/>
        </w:rPr>
        <w:t>как</w:t>
      </w:r>
      <w:r w:rsidR="00CB35B2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базисно</w:t>
      </w:r>
      <w:r w:rsidR="00E109A0">
        <w:rPr>
          <w:rFonts w:ascii="Times New Roman" w:eastAsia="TimesNewRomanPSMT" w:hAnsi="Times New Roman" w:cs="Times New Roman"/>
          <w:sz w:val="24"/>
          <w:szCs w:val="24"/>
        </w:rPr>
        <w:t>му уровню</w:t>
      </w:r>
      <w:r w:rsidR="00CB35B2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бюджетной системы уделено недостаточно внимания.</w:t>
      </w:r>
      <w:r w:rsidR="00364BA0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153C58" w:rsidRPr="00C856C6" w:rsidRDefault="00CB35B2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Систематизация мнений, представленных </w:t>
      </w:r>
      <w:r w:rsidR="00611A38" w:rsidRPr="00C856C6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>литературе, позволила уточнить понятие «бюджетный потен</w:t>
      </w:r>
      <w:r w:rsidR="00BE4661" w:rsidRPr="00C856C6">
        <w:rPr>
          <w:rFonts w:ascii="Times New Roman" w:eastAsia="TimesNewRomanPSMT" w:hAnsi="Times New Roman" w:cs="Times New Roman"/>
          <w:sz w:val="24"/>
          <w:szCs w:val="24"/>
        </w:rPr>
        <w:t xml:space="preserve">циал муниципальных образований», под которым мы понимаем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>со</w:t>
      </w:r>
      <w:r w:rsidR="00394E00" w:rsidRPr="00C856C6">
        <w:rPr>
          <w:rFonts w:ascii="Times New Roman" w:eastAsia="TimesNewRomanPSMT" w:hAnsi="Times New Roman" w:cs="Times New Roman"/>
          <w:sz w:val="24"/>
          <w:szCs w:val="24"/>
        </w:rPr>
        <w:t>вокупность фактически имеющихся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и потенциально возможных собственных и привлеченных финансовых ресурсов, которые аккумулируются в бюджеты муниципалитетов органами местного самоуправления в целях выполнения ими задач по обеспечению социально-экономического развития муниципальных о</w:t>
      </w:r>
      <w:r w:rsidR="00E17983">
        <w:rPr>
          <w:rFonts w:ascii="Times New Roman" w:eastAsia="TimesNewRomanPSMT" w:hAnsi="Times New Roman" w:cs="Times New Roman"/>
          <w:sz w:val="24"/>
          <w:szCs w:val="24"/>
        </w:rPr>
        <w:t>бразований. Данное определение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включает </w:t>
      </w:r>
      <w:r w:rsidR="00394E00" w:rsidRPr="00C856C6">
        <w:rPr>
          <w:rFonts w:ascii="Times New Roman" w:eastAsia="TimesNewRomanPSMT" w:hAnsi="Times New Roman" w:cs="Times New Roman"/>
          <w:sz w:val="24"/>
          <w:szCs w:val="24"/>
        </w:rPr>
        <w:t>следующие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аспекты понятия «бюджетный потенциал»:</w:t>
      </w:r>
    </w:p>
    <w:p w:rsidR="00CB35B2" w:rsidRPr="00C856C6" w:rsidRDefault="00153C58" w:rsidP="002E0C0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CB35B2" w:rsidRPr="00C856C6">
        <w:rPr>
          <w:rFonts w:ascii="Times New Roman" w:eastAsia="TimesNewRomanPSMT" w:hAnsi="Times New Roman" w:cs="Times New Roman"/>
          <w:sz w:val="24"/>
          <w:szCs w:val="24"/>
        </w:rPr>
        <w:t>цель формирования и эффективного использования бюджетного потенциала муниципальных образований;</w:t>
      </w:r>
    </w:p>
    <w:p w:rsidR="00CB35B2" w:rsidRPr="00C856C6" w:rsidRDefault="00CB35B2" w:rsidP="002E0C0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>- источники привлечения ресурсов для формирования бюджетного потенциала муниципальных образований.</w:t>
      </w:r>
    </w:p>
    <w:p w:rsidR="009E0C87" w:rsidRPr="00C856C6" w:rsidRDefault="009E0C87" w:rsidP="002E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C856C6">
        <w:rPr>
          <w:rFonts w:ascii="Times New Roman" w:hAnsi="Times New Roman" w:cs="Times New Roman"/>
          <w:sz w:val="24"/>
          <w:szCs w:val="24"/>
        </w:rPr>
        <w:t>определения эффективности функционирования бюджетного механизма муниципалитетов</w:t>
      </w:r>
      <w:proofErr w:type="gramEnd"/>
      <w:r w:rsidRPr="00C856C6">
        <w:rPr>
          <w:rFonts w:ascii="Times New Roman" w:hAnsi="Times New Roman" w:cs="Times New Roman"/>
          <w:sz w:val="24"/>
          <w:szCs w:val="24"/>
        </w:rPr>
        <w:t xml:space="preserve"> существует необходимость количественной оценки бюджетного потенциала муниципальных образований. В литературе рассматриваются различные методики оценки бюджетног</w:t>
      </w:r>
      <w:r w:rsidR="00AD0B58" w:rsidRPr="00C856C6">
        <w:rPr>
          <w:rFonts w:ascii="Times New Roman" w:hAnsi="Times New Roman" w:cs="Times New Roman"/>
          <w:sz w:val="24"/>
          <w:szCs w:val="24"/>
        </w:rPr>
        <w:t>о</w:t>
      </w:r>
      <w:r w:rsidRPr="00C856C6">
        <w:rPr>
          <w:rFonts w:ascii="Times New Roman" w:hAnsi="Times New Roman" w:cs="Times New Roman"/>
          <w:sz w:val="24"/>
          <w:szCs w:val="24"/>
        </w:rPr>
        <w:t xml:space="preserve"> потенциала территорий.</w:t>
      </w:r>
      <w:r w:rsidR="00D0440C" w:rsidRPr="00C85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7C" w:rsidRPr="00C856C6" w:rsidRDefault="00EC6440" w:rsidP="002E0C0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Так, С.Н. Яшиным, Н.И. Яшиной предложена методика оценки бюджетного потенциала муниципальных образований </w:t>
      </w:r>
      <w:r w:rsidR="00C40735" w:rsidRPr="00C856C6">
        <w:rPr>
          <w:rFonts w:ascii="Times New Roman" w:eastAsia="TimesNewRomanPSMT" w:hAnsi="Times New Roman" w:cs="Times New Roman"/>
          <w:sz w:val="24"/>
          <w:szCs w:val="24"/>
        </w:rPr>
        <w:t xml:space="preserve">с использованием </w:t>
      </w:r>
      <w:r w:rsidR="00147E3B" w:rsidRPr="00C856C6">
        <w:rPr>
          <w:rFonts w:ascii="Times New Roman" w:eastAsia="TimesNewRomanPSMT" w:hAnsi="Times New Roman" w:cs="Times New Roman"/>
          <w:sz w:val="24"/>
          <w:szCs w:val="24"/>
        </w:rPr>
        <w:t>показател</w:t>
      </w:r>
      <w:r w:rsidR="009D72CD" w:rsidRPr="00C856C6">
        <w:rPr>
          <w:rFonts w:ascii="Times New Roman" w:eastAsia="TimesNewRomanPSMT" w:hAnsi="Times New Roman" w:cs="Times New Roman"/>
          <w:sz w:val="24"/>
          <w:szCs w:val="24"/>
        </w:rPr>
        <w:t>ей, характеризующих</w:t>
      </w:r>
      <w:r w:rsidR="00C40735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способность местного бюджета покрывать обязательства собственными доходами</w:t>
      </w:r>
      <w:r w:rsidR="00154EA9" w:rsidRPr="00C856C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C40735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7446C" w:rsidRPr="00C856C6">
        <w:rPr>
          <w:rFonts w:ascii="Times New Roman" w:eastAsia="TimesNewRomanPSMT" w:hAnsi="Times New Roman" w:cs="Times New Roman"/>
          <w:sz w:val="24"/>
          <w:szCs w:val="24"/>
        </w:rPr>
        <w:t>структуру доходов бюджетов муниципальных образований</w:t>
      </w:r>
      <w:r w:rsidR="00BC43F8" w:rsidRPr="00C856C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C40735" w:rsidRPr="00C856C6">
        <w:rPr>
          <w:rFonts w:ascii="Times New Roman" w:eastAsia="TimesNewRomanPSMT" w:hAnsi="Times New Roman" w:cs="Times New Roman"/>
          <w:sz w:val="24"/>
          <w:szCs w:val="24"/>
        </w:rPr>
        <w:t>обеспеченность расходов собственными доходами</w:t>
      </w:r>
      <w:r w:rsidR="00E17983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BC43F8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17983">
        <w:rPr>
          <w:rFonts w:ascii="Times New Roman" w:eastAsia="TimesNewRomanPSMT" w:hAnsi="Times New Roman" w:cs="Times New Roman"/>
          <w:sz w:val="24"/>
          <w:szCs w:val="24"/>
        </w:rPr>
        <w:t>коэффициентов, описывающих</w:t>
      </w:r>
      <w:r w:rsidR="00B7446C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степень использования налогового потенциала муниципальных образований.</w:t>
      </w:r>
      <w:r w:rsidR="00E17983">
        <w:rPr>
          <w:rFonts w:ascii="Times New Roman" w:eastAsia="TimesNewRomanPSMT" w:hAnsi="Times New Roman" w:cs="Times New Roman"/>
          <w:sz w:val="24"/>
          <w:szCs w:val="24"/>
        </w:rPr>
        <w:t xml:space="preserve"> Для расчета</w:t>
      </w:r>
      <w:r w:rsidR="009D72CD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величины бюджетного потенциала авт</w:t>
      </w:r>
      <w:r w:rsidR="002519C4" w:rsidRPr="00C856C6">
        <w:rPr>
          <w:rFonts w:ascii="Times New Roman" w:eastAsia="TimesNewRomanPSMT" w:hAnsi="Times New Roman" w:cs="Times New Roman"/>
          <w:sz w:val="24"/>
          <w:szCs w:val="24"/>
        </w:rPr>
        <w:t>оры предлагают выделять</w:t>
      </w:r>
      <w:r w:rsidR="009D72CD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9C4" w:rsidRPr="00C856C6">
        <w:rPr>
          <w:rFonts w:ascii="Times New Roman" w:eastAsia="TimesNewRomanPSMT" w:hAnsi="Times New Roman" w:cs="Times New Roman"/>
          <w:sz w:val="24"/>
          <w:szCs w:val="24"/>
        </w:rPr>
        <w:t>базисный</w:t>
      </w:r>
      <w:r w:rsidR="009443F2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19C4" w:rsidRPr="00C856C6">
        <w:rPr>
          <w:rFonts w:ascii="Times New Roman" w:eastAsia="TimesNewRomanPSMT" w:hAnsi="Times New Roman" w:cs="Times New Roman"/>
          <w:sz w:val="24"/>
          <w:szCs w:val="24"/>
        </w:rPr>
        <w:t>показатель, имеющий</w:t>
      </w:r>
      <w:r w:rsidR="009D72CD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наибольшее значение для оценки бюджетного потенциала муниципальных образований</w:t>
      </w:r>
      <w:r w:rsidR="002519C4" w:rsidRPr="00C856C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7A4CDD" w:rsidRPr="00C856C6">
        <w:rPr>
          <w:rFonts w:ascii="Times New Roman" w:eastAsia="TimesNewRomanPSMT" w:hAnsi="Times New Roman" w:cs="Times New Roman"/>
          <w:sz w:val="24"/>
          <w:szCs w:val="24"/>
        </w:rPr>
        <w:t>определ</w:t>
      </w:r>
      <w:r w:rsidR="002519C4" w:rsidRPr="00C856C6">
        <w:rPr>
          <w:rFonts w:ascii="Times New Roman" w:eastAsia="TimesNewRomanPSMT" w:hAnsi="Times New Roman" w:cs="Times New Roman"/>
          <w:sz w:val="24"/>
          <w:szCs w:val="24"/>
        </w:rPr>
        <w:t xml:space="preserve">ять </w:t>
      </w:r>
      <w:r w:rsidR="007A4CDD" w:rsidRPr="00C856C6">
        <w:rPr>
          <w:rFonts w:ascii="Times New Roman" w:eastAsia="TimesNewRomanPSMT" w:hAnsi="Times New Roman" w:cs="Times New Roman"/>
          <w:sz w:val="24"/>
          <w:szCs w:val="24"/>
        </w:rPr>
        <w:t xml:space="preserve">связи между базисным показателем и прочими коэффициентами оценки бюджетного потенциала </w:t>
      </w:r>
      <w:r w:rsidR="002519C4" w:rsidRPr="00C856C6">
        <w:rPr>
          <w:rFonts w:ascii="Times New Roman" w:eastAsia="TimesNewRomanPSMT" w:hAnsi="Times New Roman" w:cs="Times New Roman"/>
          <w:sz w:val="24"/>
          <w:szCs w:val="24"/>
        </w:rPr>
        <w:t>с использованием корреляционного анализа. Далее производится</w:t>
      </w:r>
      <w:r w:rsidR="006100BB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4F7C" w:rsidRPr="00C856C6">
        <w:rPr>
          <w:rFonts w:ascii="Times New Roman" w:eastAsia="TimesNewRomanPSMT" w:hAnsi="Times New Roman" w:cs="Times New Roman"/>
          <w:sz w:val="24"/>
          <w:szCs w:val="24"/>
        </w:rPr>
        <w:t>расчет значений</w:t>
      </w:r>
      <w:r w:rsidR="00226181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D197A" w:rsidRPr="00C856C6">
        <w:rPr>
          <w:rFonts w:ascii="Times New Roman" w:eastAsia="TimesNewRomanPSMT" w:hAnsi="Times New Roman" w:cs="Times New Roman"/>
          <w:sz w:val="24"/>
          <w:szCs w:val="24"/>
        </w:rPr>
        <w:t>рейтинговой оценки бюджетного потенциала</w:t>
      </w:r>
      <w:r w:rsidR="00226181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муниципалитетов</w:t>
      </w:r>
      <w:r w:rsidR="00A34F7C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как суммы базисного показателя и произведений между укрупненным показателем по каждой группе и коэффициентом ко</w:t>
      </w:r>
      <w:r w:rsidR="008158E0" w:rsidRPr="00C856C6">
        <w:rPr>
          <w:rFonts w:ascii="Times New Roman" w:eastAsia="TimesNewRomanPSMT" w:hAnsi="Times New Roman" w:cs="Times New Roman"/>
          <w:sz w:val="24"/>
          <w:szCs w:val="24"/>
        </w:rPr>
        <w:t>рреляции с базисным показателем [</w:t>
      </w:r>
      <w:r w:rsidR="004A09D7" w:rsidRPr="00C856C6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8158E0" w:rsidRPr="00C856C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158E0" w:rsidRPr="00C856C6">
        <w:rPr>
          <w:rFonts w:ascii="Times New Roman" w:eastAsia="TimesNewRomanPSMT" w:hAnsi="Times New Roman" w:cs="Times New Roman"/>
          <w:sz w:val="24"/>
          <w:szCs w:val="24"/>
          <w:lang w:val="en-US"/>
        </w:rPr>
        <w:t>c</w:t>
      </w:r>
      <w:r w:rsidR="008158E0" w:rsidRPr="00C856C6">
        <w:rPr>
          <w:rFonts w:ascii="Times New Roman" w:eastAsia="TimesNewRomanPSMT" w:hAnsi="Times New Roman" w:cs="Times New Roman"/>
          <w:sz w:val="24"/>
          <w:szCs w:val="24"/>
        </w:rPr>
        <w:t>. 38-42].</w:t>
      </w:r>
    </w:p>
    <w:p w:rsidR="00AD0B58" w:rsidRPr="00C856C6" w:rsidRDefault="00AD0B58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>В настоящее время в исследованиях преобладает изучение методик оценки бюджетного потенциала не на муниципальном, а на региональном уровне. Данные методики могут быть адаптированы для муниципальных образований, поэтому они также целесообразны к рассмотрению</w:t>
      </w:r>
      <w:r w:rsidR="004B214D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8158E0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C2EE8" w:rsidRPr="00C856C6" w:rsidRDefault="00EC2EE8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856C6">
        <w:rPr>
          <w:rFonts w:ascii="Times New Roman" w:eastAsia="TimesNewRomanPSMT" w:hAnsi="Times New Roman" w:cs="Times New Roman"/>
          <w:sz w:val="24"/>
          <w:szCs w:val="24"/>
        </w:rPr>
        <w:lastRenderedPageBreak/>
        <w:t>Совокупный алгоритм расчета бюджетного потенциала по методике С.</w:t>
      </w:r>
      <w:r w:rsidR="004B3DC3" w:rsidRPr="00C856C6">
        <w:rPr>
          <w:rFonts w:ascii="Times New Roman" w:eastAsia="TimesNewRomanPSMT" w:hAnsi="Times New Roman" w:cs="Times New Roman"/>
          <w:sz w:val="24"/>
          <w:szCs w:val="24"/>
        </w:rPr>
        <w:t>В. Зенченко сводится к определению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величины налогового</w:t>
      </w:r>
      <w:r w:rsidR="004B3DC3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и неналогового потенциала региона,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перечислений </w:t>
      </w:r>
      <w:r w:rsidR="004B3DC3" w:rsidRPr="00C856C6">
        <w:rPr>
          <w:rFonts w:ascii="Times New Roman" w:eastAsia="TimesNewRomanPSMT" w:hAnsi="Times New Roman" w:cs="Times New Roman"/>
          <w:sz w:val="24"/>
          <w:szCs w:val="24"/>
        </w:rPr>
        <w:t xml:space="preserve">в федеральный и местный бюджеты, определению потенциальных расходов региона и, соответственно,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>величин</w:t>
      </w:r>
      <w:r w:rsidR="004B3DC3" w:rsidRPr="00C856C6">
        <w:rPr>
          <w:rFonts w:ascii="Times New Roman" w:eastAsia="TimesNewRomanPSMT" w:hAnsi="Times New Roman" w:cs="Times New Roman"/>
          <w:sz w:val="24"/>
          <w:szCs w:val="24"/>
        </w:rPr>
        <w:t>ы бюджетного потенциала региона</w:t>
      </w:r>
      <w:r w:rsidR="00611A38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[2</w:t>
      </w:r>
      <w:r w:rsidR="008158E0" w:rsidRPr="00C856C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ED6641">
        <w:rPr>
          <w:rFonts w:ascii="Times New Roman" w:eastAsia="TimesNewRomanPSMT" w:hAnsi="Times New Roman" w:cs="Times New Roman"/>
          <w:sz w:val="24"/>
          <w:szCs w:val="24"/>
        </w:rPr>
        <w:t xml:space="preserve">с. </w:t>
      </w:r>
      <w:r w:rsidR="008158E0" w:rsidRPr="00C856C6">
        <w:rPr>
          <w:rFonts w:ascii="Times New Roman" w:eastAsia="TimesNewRomanPSMT" w:hAnsi="Times New Roman" w:cs="Times New Roman"/>
          <w:sz w:val="24"/>
          <w:szCs w:val="24"/>
        </w:rPr>
        <w:t>187-196]</w:t>
      </w:r>
      <w:r w:rsidR="004B3DC3" w:rsidRPr="00C856C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End"/>
    </w:p>
    <w:p w:rsidR="00BE4661" w:rsidRPr="00C856C6" w:rsidRDefault="004B3DC3" w:rsidP="002E0C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Методика оценки  уровня бюджетно-налогового потенциала региона на основе расчета </w:t>
      </w:r>
      <w:r w:rsidR="00EA04BE" w:rsidRPr="00C856C6">
        <w:rPr>
          <w:rFonts w:ascii="Times New Roman" w:eastAsia="TimesNewRomanPSMT" w:hAnsi="Times New Roman" w:cs="Times New Roman"/>
          <w:sz w:val="24"/>
          <w:szCs w:val="24"/>
        </w:rPr>
        <w:t>интегрального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04BE" w:rsidRPr="00C856C6">
        <w:rPr>
          <w:rFonts w:ascii="Times New Roman" w:eastAsia="TimesNewRomanPSMT" w:hAnsi="Times New Roman" w:cs="Times New Roman"/>
          <w:sz w:val="24"/>
          <w:szCs w:val="24"/>
        </w:rPr>
        <w:t xml:space="preserve">показателя из совокупности коэффициентов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предложена </w:t>
      </w:r>
      <w:r w:rsidRPr="00C856C6">
        <w:rPr>
          <w:rFonts w:ascii="Times New Roman" w:hAnsi="Times New Roman" w:cs="Times New Roman"/>
          <w:sz w:val="24"/>
          <w:szCs w:val="24"/>
        </w:rPr>
        <w:t xml:space="preserve">Ж.Г. Голодовой. </w:t>
      </w:r>
      <w:r w:rsidR="00EA04BE" w:rsidRPr="00C856C6">
        <w:rPr>
          <w:rFonts w:ascii="Times New Roman" w:hAnsi="Times New Roman" w:cs="Times New Roman"/>
          <w:sz w:val="24"/>
          <w:szCs w:val="24"/>
        </w:rPr>
        <w:t xml:space="preserve">Производится расчет коэффициента покрытия расходов, </w:t>
      </w:r>
      <w:r w:rsidR="00A87026" w:rsidRPr="00C856C6">
        <w:rPr>
          <w:rFonts w:ascii="Times New Roman" w:hAnsi="Times New Roman" w:cs="Times New Roman"/>
          <w:sz w:val="24"/>
          <w:szCs w:val="24"/>
        </w:rPr>
        <w:t>концентрации</w:t>
      </w:r>
      <w:r w:rsidR="00EA04BE" w:rsidRPr="00C856C6">
        <w:rPr>
          <w:rFonts w:ascii="Times New Roman" w:hAnsi="Times New Roman" w:cs="Times New Roman"/>
          <w:sz w:val="24"/>
          <w:szCs w:val="24"/>
        </w:rPr>
        <w:t xml:space="preserve"> собственных доходов, обеспеченности населения собственными доходами</w:t>
      </w:r>
      <w:r w:rsidR="00153C58" w:rsidRPr="00C856C6">
        <w:rPr>
          <w:rFonts w:ascii="Times New Roman" w:hAnsi="Times New Roman" w:cs="Times New Roman"/>
          <w:sz w:val="24"/>
          <w:szCs w:val="24"/>
        </w:rPr>
        <w:t>, отношения</w:t>
      </w:r>
      <w:r w:rsidR="00A87026" w:rsidRPr="00C856C6">
        <w:rPr>
          <w:rFonts w:ascii="Times New Roman" w:hAnsi="Times New Roman" w:cs="Times New Roman"/>
          <w:sz w:val="24"/>
          <w:szCs w:val="24"/>
        </w:rPr>
        <w:t xml:space="preserve"> собственных доходов бюджета к </w:t>
      </w:r>
      <w:proofErr w:type="gramStart"/>
      <w:r w:rsidR="00A87026" w:rsidRPr="00C856C6">
        <w:rPr>
          <w:rFonts w:ascii="Times New Roman" w:hAnsi="Times New Roman" w:cs="Times New Roman"/>
          <w:sz w:val="24"/>
          <w:szCs w:val="24"/>
        </w:rPr>
        <w:t>привлеченным</w:t>
      </w:r>
      <w:proofErr w:type="gramEnd"/>
      <w:r w:rsidR="00A87026" w:rsidRPr="00C856C6">
        <w:rPr>
          <w:rFonts w:ascii="Times New Roman" w:hAnsi="Times New Roman" w:cs="Times New Roman"/>
          <w:sz w:val="24"/>
          <w:szCs w:val="24"/>
        </w:rPr>
        <w:t>.</w:t>
      </w:r>
      <w:r w:rsidR="00633976" w:rsidRPr="00C856C6">
        <w:rPr>
          <w:rFonts w:ascii="Times New Roman" w:hAnsi="Times New Roman" w:cs="Times New Roman"/>
          <w:sz w:val="24"/>
          <w:szCs w:val="24"/>
        </w:rPr>
        <w:t xml:space="preserve"> </w:t>
      </w:r>
      <w:r w:rsidR="00EA04BE" w:rsidRPr="00C856C6">
        <w:rPr>
          <w:rFonts w:ascii="Times New Roman" w:eastAsiaTheme="minorEastAsia" w:hAnsi="Times New Roman" w:cs="Times New Roman"/>
          <w:sz w:val="24"/>
          <w:szCs w:val="24"/>
        </w:rPr>
        <w:t>В зависимости от полученного значения инт</w:t>
      </w:r>
      <w:r w:rsidR="00D60CF6">
        <w:rPr>
          <w:rFonts w:ascii="Times New Roman" w:eastAsiaTheme="minorEastAsia" w:hAnsi="Times New Roman" w:cs="Times New Roman"/>
          <w:sz w:val="24"/>
          <w:szCs w:val="24"/>
        </w:rPr>
        <w:t>егрального показателя устанавливается</w:t>
      </w:r>
      <w:r w:rsidR="00EA04BE" w:rsidRPr="00C856C6">
        <w:rPr>
          <w:rFonts w:ascii="Times New Roman" w:eastAsiaTheme="minorEastAsia" w:hAnsi="Times New Roman" w:cs="Times New Roman"/>
          <w:sz w:val="24"/>
          <w:szCs w:val="24"/>
        </w:rPr>
        <w:t xml:space="preserve"> совокупный уровень бюджетно-налогового потенциала региона: высокий, выше среднего, средний, ниже среднего и низкий</w:t>
      </w:r>
      <w:r w:rsidR="00611A38" w:rsidRPr="00C856C6">
        <w:rPr>
          <w:rFonts w:ascii="Times New Roman" w:eastAsiaTheme="minorEastAsia" w:hAnsi="Times New Roman" w:cs="Times New Roman"/>
          <w:sz w:val="24"/>
          <w:szCs w:val="24"/>
        </w:rPr>
        <w:t xml:space="preserve"> [1</w:t>
      </w:r>
      <w:r w:rsidR="008158E0" w:rsidRPr="00C856C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158E0" w:rsidRPr="00C856C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8158E0" w:rsidRPr="00C856C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E54FA" w:rsidRPr="00C856C6">
        <w:rPr>
          <w:rFonts w:ascii="Times New Roman" w:eastAsiaTheme="minorEastAsia" w:hAnsi="Times New Roman" w:cs="Times New Roman"/>
          <w:sz w:val="24"/>
          <w:szCs w:val="24"/>
        </w:rPr>
        <w:t>37-38</w:t>
      </w:r>
      <w:r w:rsidR="008158E0" w:rsidRPr="00C856C6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EA04BE" w:rsidRPr="00C856C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E4661" w:rsidRPr="00C856C6" w:rsidRDefault="00BE4661" w:rsidP="002E0C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  <w:lang w:eastAsia="ru-RU"/>
        </w:rPr>
        <w:t>Сравнительная характеристика данных методик представлена в таблице 2.</w:t>
      </w:r>
    </w:p>
    <w:p w:rsidR="00BE4661" w:rsidRPr="00C856C6" w:rsidRDefault="00BE4661" w:rsidP="002E0C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C856C6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Таблица 2</w:t>
      </w:r>
    </w:p>
    <w:p w:rsidR="00BE4661" w:rsidRPr="00BE4661" w:rsidRDefault="00BE4661" w:rsidP="002E0C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E4661">
        <w:rPr>
          <w:rFonts w:ascii="Times New Roman" w:eastAsia="TimesNewRomanPSMT" w:hAnsi="Times New Roman" w:cs="Times New Roman"/>
          <w:sz w:val="24"/>
          <w:szCs w:val="24"/>
          <w:lang w:eastAsia="ru-RU"/>
        </w:rPr>
        <w:t>Сравнительная характеристика методик оценки бюджетного потенциала территорий</w:t>
      </w: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2093"/>
        <w:gridCol w:w="3969"/>
        <w:gridCol w:w="3792"/>
      </w:tblGrid>
      <w:tr w:rsidR="00C4385E" w:rsidRPr="00C856C6" w:rsidTr="005B2169">
        <w:trPr>
          <w:jc w:val="center"/>
        </w:trPr>
        <w:tc>
          <w:tcPr>
            <w:tcW w:w="1062" w:type="pct"/>
          </w:tcPr>
          <w:p w:rsidR="00BE4661" w:rsidRPr="00BE4661" w:rsidRDefault="00BE4661" w:rsidP="00D60C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2014" w:type="pct"/>
          </w:tcPr>
          <w:p w:rsidR="00BE4661" w:rsidRPr="00BE4661" w:rsidRDefault="00BE4661" w:rsidP="00D60C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1924" w:type="pct"/>
          </w:tcPr>
          <w:p w:rsidR="00BE4661" w:rsidRPr="00BE4661" w:rsidRDefault="00BE4661" w:rsidP="00D60C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C4385E" w:rsidRPr="00C856C6" w:rsidTr="005B2169">
        <w:trPr>
          <w:jc w:val="center"/>
        </w:trPr>
        <w:tc>
          <w:tcPr>
            <w:tcW w:w="1062" w:type="pct"/>
            <w:vAlign w:val="center"/>
          </w:tcPr>
          <w:p w:rsidR="00D60CF6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Методика расчета бюджетного потенциала муниципальных образований </w:t>
            </w:r>
          </w:p>
          <w:p w:rsidR="00D60CF6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С.Н. Яшина, </w:t>
            </w:r>
          </w:p>
          <w:p w:rsidR="00BE4661" w:rsidRPr="004B214D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Н.И. Яшиной</w:t>
            </w:r>
          </w:p>
          <w:p w:rsidR="00C4385E" w:rsidRPr="00D60CF6" w:rsidRDefault="00C4385E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0CF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[5, </w:t>
            </w:r>
            <w:r w:rsidRPr="00C856C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c</w:t>
            </w:r>
            <w:r w:rsidRPr="00D60CF6">
              <w:rPr>
                <w:rFonts w:ascii="Times New Roman" w:eastAsia="TimesNewRomanPSMT" w:hAnsi="Times New Roman" w:cs="Times New Roman"/>
                <w:sz w:val="24"/>
                <w:szCs w:val="24"/>
              </w:rPr>
              <w:t>. 38-42]</w:t>
            </w:r>
          </w:p>
        </w:tc>
        <w:tc>
          <w:tcPr>
            <w:tcW w:w="2014" w:type="pct"/>
            <w:vAlign w:val="center"/>
          </w:tcPr>
          <w:p w:rsidR="00BE4661" w:rsidRPr="00BE4661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1. Анализ бюд</w:t>
            </w:r>
            <w:r w:rsidR="005B21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жетного потенциала производится на </w:t>
            </w:r>
            <w:proofErr w:type="gramStart"/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основе разделенных на</w:t>
            </w:r>
            <w:proofErr w:type="gramEnd"/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группы относительных показателей. Методика может применяться для сравнения бюджетного потенциала за различные периоды времени, по территориям.</w:t>
            </w:r>
          </w:p>
          <w:p w:rsidR="00BE4661" w:rsidRPr="00BE4661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2. Выбор базисного показателя и построение на его основе рейтинговой оценки бюджетного потенциала муниципальных образований.</w:t>
            </w:r>
          </w:p>
        </w:tc>
        <w:tc>
          <w:tcPr>
            <w:tcW w:w="1924" w:type="pct"/>
            <w:vAlign w:val="center"/>
          </w:tcPr>
          <w:p w:rsidR="002137A5" w:rsidRPr="00C856C6" w:rsidRDefault="00BE4661" w:rsidP="00D60C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661">
              <w:rPr>
                <w:rFonts w:ascii="Times New Roman" w:hAnsi="Times New Roman" w:cs="Times New Roman"/>
                <w:sz w:val="24"/>
                <w:szCs w:val="24"/>
              </w:rPr>
              <w:t>.Использование коэффициентов корреляции в качестве весов при расчете рейтингов</w:t>
            </w:r>
            <w:r w:rsidR="00C4385E" w:rsidRPr="00C856C6">
              <w:rPr>
                <w:rFonts w:ascii="Times New Roman" w:hAnsi="Times New Roman" w:cs="Times New Roman"/>
                <w:sz w:val="24"/>
                <w:szCs w:val="24"/>
              </w:rPr>
              <w:t xml:space="preserve">ой оценки бюджетного потенциала </w:t>
            </w:r>
            <w:r w:rsidRPr="00BE46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муниципалитетов. </w:t>
            </w:r>
            <w:r w:rsidR="002137A5" w:rsidRPr="00C856C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корреляции может принимать отрицательное или близкое к нулю значение, что может привести к искажению результатов рейтинговой оценки. </w:t>
            </w:r>
          </w:p>
          <w:p w:rsidR="00BE4661" w:rsidRPr="00BE4661" w:rsidRDefault="00BE4661" w:rsidP="00D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661">
              <w:rPr>
                <w:rFonts w:ascii="Times New Roman" w:hAnsi="Times New Roman" w:cs="Times New Roman"/>
                <w:sz w:val="24"/>
                <w:szCs w:val="24"/>
              </w:rPr>
              <w:t>. Субъективность оценки при выделении авторами одного укрупненного коэффициента как базисного показателя оценки потенциала.</w:t>
            </w:r>
          </w:p>
        </w:tc>
      </w:tr>
      <w:tr w:rsidR="00C4385E" w:rsidRPr="00C856C6" w:rsidTr="005B2169">
        <w:trPr>
          <w:jc w:val="center"/>
        </w:trPr>
        <w:tc>
          <w:tcPr>
            <w:tcW w:w="1062" w:type="pct"/>
            <w:vAlign w:val="center"/>
          </w:tcPr>
          <w:p w:rsidR="00C4385E" w:rsidRPr="004B214D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Методика расчета бюджетного потенциала региона </w:t>
            </w:r>
          </w:p>
          <w:p w:rsidR="00BE4661" w:rsidRPr="004B214D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С.В. Зенченко</w:t>
            </w:r>
          </w:p>
          <w:p w:rsidR="00C4385E" w:rsidRPr="00BE4661" w:rsidRDefault="00C4385E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856C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[2, c. 187-196]</w:t>
            </w:r>
          </w:p>
        </w:tc>
        <w:tc>
          <w:tcPr>
            <w:tcW w:w="2014" w:type="pct"/>
          </w:tcPr>
          <w:p w:rsidR="00BE4661" w:rsidRPr="00BE4661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1. Производится отдельно оценка налогового и неналогового потенциала.</w:t>
            </w:r>
          </w:p>
          <w:p w:rsidR="00BE4661" w:rsidRPr="00BE4661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2. Расчет величины потенциала производится с учетом вероятности выполнения налоговых и неналоговых обязательств, что позволяет определить уровень реального и скрытого налогового и неналогового потенциала.</w:t>
            </w:r>
          </w:p>
        </w:tc>
        <w:tc>
          <w:tcPr>
            <w:tcW w:w="1924" w:type="pct"/>
            <w:vAlign w:val="center"/>
          </w:tcPr>
          <w:p w:rsidR="00BE4661" w:rsidRPr="00BE4661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Показатель бюджетного потенциала рассчитывается только в  абсолютном выражении, что затрудняет сравнение значения показателя по различным территориям, в динамике</w:t>
            </w:r>
            <w:r w:rsidR="002137A5" w:rsidRPr="00C856C6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4661" w:rsidRPr="00BE4661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4385E" w:rsidRPr="00C856C6" w:rsidTr="005B2169">
        <w:trPr>
          <w:jc w:val="center"/>
        </w:trPr>
        <w:tc>
          <w:tcPr>
            <w:tcW w:w="1062" w:type="pct"/>
            <w:vAlign w:val="center"/>
          </w:tcPr>
          <w:p w:rsidR="00BE4661" w:rsidRPr="00BE4661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Методика расчета бюджетно-налогового потенциала </w:t>
            </w:r>
          </w:p>
          <w:p w:rsidR="00BE4661" w:rsidRPr="00BE4661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региона</w:t>
            </w:r>
          </w:p>
          <w:p w:rsidR="00BE4661" w:rsidRPr="00C856C6" w:rsidRDefault="00C4385E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856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Ж. Г. </w:t>
            </w:r>
            <w:proofErr w:type="spellStart"/>
            <w:r w:rsidR="00BE4661"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Голодовой</w:t>
            </w:r>
            <w:proofErr w:type="spellEnd"/>
          </w:p>
          <w:p w:rsidR="00C4385E" w:rsidRPr="00BE4661" w:rsidRDefault="00C4385E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856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[1, </w:t>
            </w:r>
            <w:r w:rsidRPr="00C856C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c</w:t>
            </w:r>
            <w:r w:rsidRPr="00C856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C856C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37-38</w:t>
            </w:r>
            <w:r w:rsidRPr="00C856C6">
              <w:rPr>
                <w:rFonts w:ascii="Times New Roman" w:eastAsia="TimesNewRomanPSMT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014" w:type="pct"/>
          </w:tcPr>
          <w:p w:rsidR="00BE4661" w:rsidRPr="00BE4661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1. Расчет интегрального показателя уровня бюджетно-налогового потенциала на основе коэффициентов, с помощью которого возможно сравнение потенциала  на разных территориях, за различные периоды времени</w:t>
            </w:r>
          </w:p>
          <w:p w:rsidR="00BE4661" w:rsidRPr="00BE4661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2. Относительная простота расчета, небольшое количество коэффициентов.</w:t>
            </w:r>
          </w:p>
        </w:tc>
        <w:tc>
          <w:tcPr>
            <w:tcW w:w="1924" w:type="pct"/>
            <w:vAlign w:val="center"/>
          </w:tcPr>
          <w:p w:rsidR="00BE4661" w:rsidRPr="00BE4661" w:rsidRDefault="00BE4661" w:rsidP="00D60CF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Недостаточная объективность  расчета при его простоте вследствие использования только четырех </w:t>
            </w:r>
            <w:proofErr w:type="spellStart"/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>несгруппированных</w:t>
            </w:r>
            <w:proofErr w:type="spellEnd"/>
            <w:r w:rsidRPr="00BE46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коэффициентов</w:t>
            </w:r>
            <w:r w:rsidR="002137A5" w:rsidRPr="00C856C6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</w:tbl>
    <w:p w:rsidR="00102CED" w:rsidRPr="00C856C6" w:rsidRDefault="00BE4661" w:rsidP="002E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lastRenderedPageBreak/>
        <w:t>О</w:t>
      </w:r>
      <w:r w:rsidR="00102CED" w:rsidRPr="00C856C6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>бщим недостатком исследованных методик является отсутствие оценки</w:t>
      </w:r>
      <w:r w:rsidR="00102CED" w:rsidRPr="00C856C6">
        <w:rPr>
          <w:rFonts w:ascii="Times New Roman" w:eastAsiaTheme="minorEastAsia" w:hAnsi="Times New Roman" w:cs="Times New Roman"/>
          <w:sz w:val="24"/>
          <w:szCs w:val="24"/>
        </w:rPr>
        <w:t xml:space="preserve"> влияния на бюджетный потенциал показателей уровня социально-экономического развития муниципальных образований – основы любого бюджета.</w:t>
      </w:r>
      <w:r w:rsidR="00102CED" w:rsidRPr="00C85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A5" w:rsidRPr="00C856C6" w:rsidRDefault="00102CED" w:rsidP="002E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</w:rPr>
        <w:t xml:space="preserve">Все вышеперечисленное вызывает необходимость </w:t>
      </w:r>
      <w:r w:rsidR="005064A0" w:rsidRPr="00C856C6">
        <w:rPr>
          <w:rFonts w:ascii="Times New Roman" w:hAnsi="Times New Roman" w:cs="Times New Roman"/>
          <w:sz w:val="24"/>
          <w:szCs w:val="24"/>
        </w:rPr>
        <w:t>разработки</w:t>
      </w:r>
      <w:r w:rsidRPr="00C856C6">
        <w:rPr>
          <w:rFonts w:ascii="Times New Roman" w:hAnsi="Times New Roman" w:cs="Times New Roman"/>
          <w:sz w:val="24"/>
          <w:szCs w:val="24"/>
        </w:rPr>
        <w:t xml:space="preserve"> методики оценки бюджетного потенциала</w:t>
      </w:r>
      <w:r w:rsidR="005064A0" w:rsidRPr="00C856C6">
        <w:rPr>
          <w:rFonts w:ascii="Times New Roman" w:hAnsi="Times New Roman" w:cs="Times New Roman"/>
          <w:sz w:val="24"/>
          <w:szCs w:val="24"/>
        </w:rPr>
        <w:t>, применимой для муниципальных образований</w:t>
      </w:r>
      <w:r w:rsidRPr="00C856C6">
        <w:rPr>
          <w:rFonts w:ascii="Times New Roman" w:hAnsi="Times New Roman" w:cs="Times New Roman"/>
          <w:sz w:val="24"/>
          <w:szCs w:val="24"/>
        </w:rPr>
        <w:t xml:space="preserve">. </w:t>
      </w:r>
      <w:r w:rsidR="002137A5" w:rsidRPr="00C856C6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C856C6">
        <w:rPr>
          <w:rFonts w:ascii="Times New Roman" w:hAnsi="Times New Roman" w:cs="Times New Roman"/>
          <w:sz w:val="24"/>
          <w:szCs w:val="24"/>
        </w:rPr>
        <w:t>предлагается методика оценки бюджетного потенциала</w:t>
      </w:r>
      <w:r w:rsidR="005064A0" w:rsidRPr="00C856C6">
        <w:rPr>
          <w:rFonts w:ascii="Times New Roman" w:hAnsi="Times New Roman" w:cs="Times New Roman"/>
          <w:sz w:val="24"/>
          <w:szCs w:val="24"/>
        </w:rPr>
        <w:t xml:space="preserve"> муниципалитетов,</w:t>
      </w:r>
      <w:r w:rsidR="0003742A" w:rsidRPr="00C856C6">
        <w:rPr>
          <w:rFonts w:ascii="Times New Roman" w:hAnsi="Times New Roman" w:cs="Times New Roman"/>
          <w:sz w:val="24"/>
          <w:szCs w:val="24"/>
        </w:rPr>
        <w:t xml:space="preserve">  построенная</w:t>
      </w:r>
      <w:r w:rsidRPr="00C856C6">
        <w:rPr>
          <w:rFonts w:ascii="Times New Roman" w:hAnsi="Times New Roman" w:cs="Times New Roman"/>
          <w:sz w:val="24"/>
          <w:szCs w:val="24"/>
        </w:rPr>
        <w:t xml:space="preserve"> на базе расчета относительных показателей</w:t>
      </w:r>
      <w:r w:rsidR="00D3348F" w:rsidRPr="00C856C6">
        <w:rPr>
          <w:rFonts w:ascii="Times New Roman" w:hAnsi="Times New Roman" w:cs="Times New Roman"/>
          <w:sz w:val="24"/>
          <w:szCs w:val="24"/>
        </w:rPr>
        <w:t xml:space="preserve"> по различным направлениям </w:t>
      </w:r>
      <w:r w:rsidR="005B2169">
        <w:rPr>
          <w:rFonts w:ascii="Times New Roman" w:hAnsi="Times New Roman" w:cs="Times New Roman"/>
          <w:sz w:val="24"/>
          <w:szCs w:val="24"/>
        </w:rPr>
        <w:t>анализа</w:t>
      </w:r>
      <w:r w:rsidR="00122BAA">
        <w:rPr>
          <w:rFonts w:ascii="Times New Roman" w:hAnsi="Times New Roman" w:cs="Times New Roman"/>
          <w:sz w:val="24"/>
          <w:szCs w:val="24"/>
        </w:rPr>
        <w:t xml:space="preserve"> бюджетного потенциала муниципальных образований</w:t>
      </w:r>
      <w:r w:rsidRPr="00C856C6">
        <w:rPr>
          <w:rFonts w:ascii="Times New Roman" w:hAnsi="Times New Roman" w:cs="Times New Roman"/>
          <w:sz w:val="24"/>
          <w:szCs w:val="24"/>
        </w:rPr>
        <w:t xml:space="preserve"> и определения на их основе интегрального коэффициента. </w:t>
      </w:r>
    </w:p>
    <w:p w:rsidR="005064A0" w:rsidRDefault="005064A0" w:rsidP="002E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</w:rPr>
        <w:t>Набор показателей в методике был систематизирован в соответствии с требования</w:t>
      </w:r>
      <w:r w:rsidR="0003742A" w:rsidRPr="00C856C6">
        <w:rPr>
          <w:rFonts w:ascii="Times New Roman" w:hAnsi="Times New Roman" w:cs="Times New Roman"/>
          <w:sz w:val="24"/>
          <w:szCs w:val="24"/>
        </w:rPr>
        <w:t>ми законодательства и экспертов</w:t>
      </w:r>
      <w:r w:rsidR="00D3348F" w:rsidRPr="00C856C6">
        <w:rPr>
          <w:rFonts w:ascii="Times New Roman" w:hAnsi="Times New Roman" w:cs="Times New Roman"/>
          <w:sz w:val="24"/>
          <w:szCs w:val="24"/>
        </w:rPr>
        <w:t xml:space="preserve"> исходя из задач стратегического развития </w:t>
      </w:r>
      <w:proofErr w:type="gramStart"/>
      <w:r w:rsidR="00D3348F" w:rsidRPr="00C856C6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="00D3348F" w:rsidRPr="00C856C6">
        <w:rPr>
          <w:rFonts w:ascii="Times New Roman" w:hAnsi="Times New Roman" w:cs="Times New Roman"/>
          <w:sz w:val="24"/>
          <w:szCs w:val="24"/>
        </w:rPr>
        <w:t xml:space="preserve"> на основе критического анализа существующих методик. Направления и показатели, на основе которых </w:t>
      </w:r>
      <w:proofErr w:type="gramStart"/>
      <w:r w:rsidR="00D3348F" w:rsidRPr="00C856C6">
        <w:rPr>
          <w:rFonts w:ascii="Times New Roman" w:hAnsi="Times New Roman" w:cs="Times New Roman"/>
          <w:sz w:val="24"/>
          <w:szCs w:val="24"/>
        </w:rPr>
        <w:t xml:space="preserve">производится оценка бюджетного потенциала муниципальных образований </w:t>
      </w:r>
      <w:r w:rsidR="00C856C6" w:rsidRPr="00C856C6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C856C6" w:rsidRPr="00C856C6">
        <w:rPr>
          <w:rFonts w:ascii="Times New Roman" w:hAnsi="Times New Roman" w:cs="Times New Roman"/>
          <w:sz w:val="24"/>
          <w:szCs w:val="24"/>
        </w:rPr>
        <w:t xml:space="preserve"> ниже</w:t>
      </w:r>
      <w:r w:rsidR="004A09D7" w:rsidRPr="00C856C6">
        <w:rPr>
          <w:rFonts w:ascii="Times New Roman" w:hAnsi="Times New Roman" w:cs="Times New Roman"/>
          <w:sz w:val="24"/>
          <w:szCs w:val="24"/>
        </w:rPr>
        <w:t>.</w:t>
      </w:r>
    </w:p>
    <w:p w:rsidR="00C856C6" w:rsidRPr="00C856C6" w:rsidRDefault="00C856C6" w:rsidP="00C8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</w:rPr>
        <w:t xml:space="preserve">1. Социально-экономические </w:t>
      </w:r>
      <w:r w:rsidR="00122BAA">
        <w:rPr>
          <w:rFonts w:ascii="Times New Roman" w:hAnsi="Times New Roman" w:cs="Times New Roman"/>
          <w:sz w:val="24"/>
          <w:szCs w:val="24"/>
        </w:rPr>
        <w:t>состояние</w:t>
      </w:r>
      <w:r w:rsidRPr="00C856C6">
        <w:rPr>
          <w:rFonts w:ascii="Times New Roman" w:hAnsi="Times New Roman" w:cs="Times New Roman"/>
          <w:sz w:val="24"/>
          <w:szCs w:val="24"/>
        </w:rPr>
        <w:t xml:space="preserve"> муниципальных образований (динамика реальных денежных доходов населения, фонд оплаты труда работников в сравнении с предыдущим годом,  индекс производства промышленной продукции, индекс физического объема производства сельскохозяйственной продукции, индекс физического объема оборота розничной торговли).</w:t>
      </w:r>
    </w:p>
    <w:p w:rsidR="00C856C6" w:rsidRPr="00C856C6" w:rsidRDefault="00C856C6" w:rsidP="00C856C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</w:rPr>
        <w:t>2.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22BAA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5B2169">
        <w:rPr>
          <w:rFonts w:ascii="Times New Roman" w:eastAsia="TimesNewRomanPSMT" w:hAnsi="Times New Roman" w:cs="Times New Roman"/>
          <w:sz w:val="24"/>
          <w:szCs w:val="24"/>
        </w:rPr>
        <w:t>тепень покрытия расходов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местного бюджета несобственными средствами (</w:t>
      </w:r>
      <w:r w:rsidRPr="00C856C6">
        <w:rPr>
          <w:rFonts w:ascii="Times New Roman" w:hAnsi="Times New Roman" w:cs="Times New Roman"/>
          <w:sz w:val="24"/>
          <w:szCs w:val="24"/>
        </w:rPr>
        <w:t>показатель покрытия всех расходов местного бюджета, показатель  покрытия  текущих расходов местного бюджета, показатель покрытия защищенных расходов местного бюджета).</w:t>
      </w:r>
    </w:p>
    <w:p w:rsidR="00C856C6" w:rsidRPr="00C856C6" w:rsidRDefault="00F93692" w:rsidP="00C856C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2BAA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C856C6" w:rsidRPr="00C856C6">
        <w:rPr>
          <w:rFonts w:ascii="Times New Roman" w:eastAsia="TimesNewRomanPSMT" w:hAnsi="Times New Roman" w:cs="Times New Roman"/>
          <w:sz w:val="24"/>
          <w:szCs w:val="24"/>
        </w:rPr>
        <w:t>беспеченность расходов местного бюджета собственными доходами (</w:t>
      </w:r>
      <w:r w:rsidR="00C856C6" w:rsidRPr="00C856C6">
        <w:rPr>
          <w:rFonts w:ascii="Times New Roman" w:hAnsi="Times New Roman" w:cs="Times New Roman"/>
          <w:sz w:val="24"/>
          <w:szCs w:val="24"/>
        </w:rPr>
        <w:t>коэффициент покрытия  совокупных расходов местного бюджета совокупными доходами, коэффициент обеспечения текущих и капитальных расходов местного бюджета собственными доходами, к</w:t>
      </w:r>
      <w:r w:rsidR="00C856C6" w:rsidRPr="00C856C6">
        <w:rPr>
          <w:rFonts w:ascii="Times New Roman" w:eastAsia="TimesNewRomanPSMT" w:hAnsi="Times New Roman" w:cs="Times New Roman"/>
          <w:sz w:val="24"/>
          <w:szCs w:val="24"/>
        </w:rPr>
        <w:t>оэффициент обеспечения текущих обязательств  местного бюджета собственными доходами</w:t>
      </w:r>
      <w:r w:rsidR="00C856C6" w:rsidRPr="00C856C6">
        <w:rPr>
          <w:rFonts w:ascii="Times New Roman" w:hAnsi="Times New Roman" w:cs="Times New Roman"/>
          <w:sz w:val="24"/>
          <w:szCs w:val="24"/>
        </w:rPr>
        <w:t>, коэффициент обеспеченности населения собственными доходами местного бюджета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56C6" w:rsidRPr="00C856C6">
        <w:rPr>
          <w:rFonts w:ascii="Times New Roman" w:hAnsi="Times New Roman" w:cs="Times New Roman"/>
          <w:sz w:val="24"/>
          <w:szCs w:val="24"/>
        </w:rPr>
        <w:t>.</w:t>
      </w:r>
    </w:p>
    <w:p w:rsidR="00C856C6" w:rsidRPr="00C856C6" w:rsidRDefault="00C856C6" w:rsidP="00C856C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</w:rPr>
        <w:t xml:space="preserve">4. </w:t>
      </w:r>
      <w:r w:rsidR="00F93692">
        <w:rPr>
          <w:rFonts w:ascii="Times New Roman" w:eastAsia="TimesNewRomanPSMT" w:hAnsi="Times New Roman" w:cs="Times New Roman"/>
          <w:sz w:val="24"/>
          <w:szCs w:val="24"/>
        </w:rPr>
        <w:t>Сбалансированность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бюджетов муниципальных образован</w:t>
      </w:r>
      <w:r w:rsidR="00F93692">
        <w:rPr>
          <w:rFonts w:ascii="Times New Roman" w:eastAsia="TimesNewRomanPSMT" w:hAnsi="Times New Roman" w:cs="Times New Roman"/>
          <w:sz w:val="24"/>
          <w:szCs w:val="24"/>
        </w:rPr>
        <w:t xml:space="preserve">ий </w:t>
      </w:r>
      <w:r w:rsidRPr="00C856C6">
        <w:rPr>
          <w:rFonts w:ascii="Times New Roman" w:hAnsi="Times New Roman" w:cs="Times New Roman"/>
          <w:sz w:val="24"/>
          <w:szCs w:val="24"/>
        </w:rPr>
        <w:t xml:space="preserve">(коэффициент покрытия дефицита муниципального бюджета, коэффициент наличия дополнительных средств местного бюджета, </w:t>
      </w:r>
      <w:r w:rsidRPr="00C856C6">
        <w:rPr>
          <w:rFonts w:ascii="Times New Roman" w:hAnsi="Times New Roman" w:cs="Times New Roman"/>
          <w:color w:val="000000"/>
          <w:sz w:val="24"/>
          <w:szCs w:val="24"/>
        </w:rPr>
        <w:t>коэффициент собственной сбалансированности местного бюджета).</w:t>
      </w:r>
    </w:p>
    <w:p w:rsidR="00C856C6" w:rsidRPr="00C856C6" w:rsidRDefault="00C856C6" w:rsidP="00C856C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>5.</w:t>
      </w:r>
      <w:r w:rsidR="00F93692">
        <w:rPr>
          <w:rFonts w:ascii="Times New Roman" w:eastAsia="TimesNewRomanPSMT" w:hAnsi="Times New Roman" w:cs="Times New Roman"/>
          <w:sz w:val="24"/>
          <w:szCs w:val="24"/>
        </w:rPr>
        <w:t xml:space="preserve"> Финансовая независимость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бюд</w:t>
      </w:r>
      <w:r w:rsidR="005B2169">
        <w:rPr>
          <w:rFonts w:ascii="Times New Roman" w:eastAsia="TimesNewRomanPSMT" w:hAnsi="Times New Roman" w:cs="Times New Roman"/>
          <w:sz w:val="24"/>
          <w:szCs w:val="24"/>
        </w:rPr>
        <w:t xml:space="preserve">жетов муниципальных образований </w:t>
      </w:r>
      <w:r w:rsidRPr="00C856C6">
        <w:rPr>
          <w:rFonts w:ascii="Times New Roman" w:hAnsi="Times New Roman" w:cs="Times New Roman"/>
          <w:sz w:val="24"/>
          <w:szCs w:val="24"/>
        </w:rPr>
        <w:t>(коэффициент финансовой независимости местного бюджета,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коэффициент налоговой независимости местного бюджета, коэффициент чистой налоговой независимости местного бюджета, коэффициент зависимости местного бюджета от трансфертов, коэффициент общей финансовой зависимости местного бюджета).</w:t>
      </w:r>
    </w:p>
    <w:p w:rsidR="00C856C6" w:rsidRPr="00C856C6" w:rsidRDefault="00C856C6" w:rsidP="00C8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6. </w:t>
      </w:r>
      <w:r w:rsidR="00F93692">
        <w:rPr>
          <w:rFonts w:ascii="Times New Roman" w:hAnsi="Times New Roman" w:cs="Times New Roman"/>
          <w:sz w:val="24"/>
          <w:szCs w:val="24"/>
        </w:rPr>
        <w:t>Устойчивость</w:t>
      </w:r>
      <w:r w:rsidRPr="00C856C6">
        <w:rPr>
          <w:rFonts w:ascii="Times New Roman" w:hAnsi="Times New Roman" w:cs="Times New Roman"/>
          <w:sz w:val="24"/>
          <w:szCs w:val="24"/>
        </w:rPr>
        <w:t xml:space="preserve"> бюджетов муниципальных образований (коэффициент общей финансовой устойчивости местного бюджета, коэффициент совокупной финансовой устойчивости местного бюджета, к</w:t>
      </w:r>
      <w:r w:rsidR="00F93692">
        <w:rPr>
          <w:rFonts w:ascii="Times New Roman" w:hAnsi="Times New Roman" w:cs="Times New Roman"/>
          <w:sz w:val="24"/>
          <w:szCs w:val="24"/>
        </w:rPr>
        <w:t xml:space="preserve">оэффициент собственной </w:t>
      </w:r>
      <w:r w:rsidRPr="00C856C6">
        <w:rPr>
          <w:rFonts w:ascii="Times New Roman" w:hAnsi="Times New Roman" w:cs="Times New Roman"/>
          <w:sz w:val="24"/>
          <w:szCs w:val="24"/>
        </w:rPr>
        <w:t>налоговой устойчивости местного бюджета).</w:t>
      </w:r>
    </w:p>
    <w:p w:rsidR="00C856C6" w:rsidRPr="00C856C6" w:rsidRDefault="00C856C6" w:rsidP="00C8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</w:rPr>
        <w:t xml:space="preserve">7. </w:t>
      </w:r>
      <w:r w:rsidR="00F93692">
        <w:rPr>
          <w:rFonts w:ascii="Times New Roman" w:hAnsi="Times New Roman" w:cs="Times New Roman"/>
          <w:sz w:val="24"/>
          <w:szCs w:val="24"/>
        </w:rPr>
        <w:t>С</w:t>
      </w:r>
      <w:r w:rsidRPr="00C856C6">
        <w:rPr>
          <w:rFonts w:ascii="Times New Roman" w:hAnsi="Times New Roman" w:cs="Times New Roman"/>
          <w:sz w:val="24"/>
          <w:szCs w:val="24"/>
        </w:rPr>
        <w:t>тепень использования налогового потенциала муниципальных образований (коэффициент собираемости налогов в местный бюджет, валовые налоговые ресурсы на душу населения, коэффициент налоговых усилий местного бюджета</w:t>
      </w:r>
      <w:r w:rsidR="00F93692">
        <w:rPr>
          <w:rFonts w:ascii="Times New Roman" w:hAnsi="Times New Roman" w:cs="Times New Roman"/>
          <w:sz w:val="24"/>
          <w:szCs w:val="24"/>
        </w:rPr>
        <w:t>)</w:t>
      </w:r>
      <w:r w:rsidRPr="00C856C6">
        <w:rPr>
          <w:rFonts w:ascii="Times New Roman" w:hAnsi="Times New Roman" w:cs="Times New Roman"/>
          <w:sz w:val="24"/>
          <w:szCs w:val="24"/>
        </w:rPr>
        <w:t>.</w:t>
      </w:r>
    </w:p>
    <w:p w:rsidR="00145968" w:rsidRPr="00C856C6" w:rsidRDefault="00BC5818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</w:rPr>
        <w:t>Для того чтобы использовать вышеприведенные показатели для оценки бюджетного потенциала муниципалитетов</w:t>
      </w:r>
      <w:r w:rsidR="00145968" w:rsidRPr="00C856C6">
        <w:rPr>
          <w:rFonts w:ascii="Times New Roman" w:hAnsi="Times New Roman" w:cs="Times New Roman"/>
          <w:sz w:val="24"/>
          <w:szCs w:val="24"/>
        </w:rPr>
        <w:t>, необходимо стандартизировать фак</w:t>
      </w:r>
      <w:r w:rsidR="0003742A" w:rsidRPr="00C856C6">
        <w:rPr>
          <w:rFonts w:ascii="Times New Roman" w:hAnsi="Times New Roman" w:cs="Times New Roman"/>
          <w:sz w:val="24"/>
          <w:szCs w:val="24"/>
        </w:rPr>
        <w:t xml:space="preserve">тические значения показателей. </w:t>
      </w:r>
      <w:r w:rsidR="00145968" w:rsidRPr="00C856C6">
        <w:rPr>
          <w:rFonts w:ascii="Times New Roman" w:hAnsi="Times New Roman" w:cs="Times New Roman"/>
          <w:sz w:val="24"/>
          <w:szCs w:val="24"/>
        </w:rPr>
        <w:t>При наличии прямой взаимосвязи между соответствующим коэффициентом и величиной бюджетного потенциала муниципалитетов</w:t>
      </w:r>
      <w:r w:rsidR="00525A5B" w:rsidRPr="00C856C6">
        <w:rPr>
          <w:rFonts w:ascii="Times New Roman" w:hAnsi="Times New Roman" w:cs="Times New Roman"/>
          <w:sz w:val="24"/>
          <w:szCs w:val="24"/>
        </w:rPr>
        <w:t>, стандартизация показателя</w:t>
      </w:r>
      <w:r w:rsidR="00554617" w:rsidRPr="00C856C6">
        <w:rPr>
          <w:rFonts w:ascii="Times New Roman" w:hAnsi="Times New Roman" w:cs="Times New Roman"/>
          <w:sz w:val="24"/>
          <w:szCs w:val="24"/>
        </w:rPr>
        <w:t xml:space="preserve"> производится по формуле 1:</w:t>
      </w:r>
    </w:p>
    <w:p w:rsidR="00525A5B" w:rsidRPr="00C856C6" w:rsidRDefault="00525A5B" w:rsidP="002E0C0B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</w:t>
      </w:r>
      <m:oMath>
        <m:sSub>
          <m:sSubPr>
            <m:ctrlPr>
              <w:rPr>
                <w:rFonts w:ascii="Cambria Math" w:eastAsia="TimesNewRomanPSMT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eastAsia="TimesNewRomanPSMT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ij</m:t>
                </m:r>
              </m:sub>
            </m:sSub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min</m:t>
                </m:r>
              </m:sub>
            </m:sSub>
          </m:den>
        </m:f>
      </m:oMath>
      <w:r w:rsidRPr="00C856C6">
        <w:rPr>
          <w:rFonts w:ascii="Times New Roman" w:eastAsia="TimesNewRomanPSMT" w:hAnsi="Times New Roman" w:cs="Times New Roman"/>
          <w:sz w:val="24"/>
          <w:szCs w:val="24"/>
        </w:rPr>
        <w:t>,                                                           (1)</w:t>
      </w:r>
    </w:p>
    <w:p w:rsidR="00525A5B" w:rsidRPr="00C856C6" w:rsidRDefault="00525A5B" w:rsidP="002E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где </w:t>
      </w:r>
      <w:proofErr w:type="gramStart"/>
      <w:r w:rsidRPr="00C856C6">
        <w:rPr>
          <w:rFonts w:ascii="Times New Roman" w:hAnsi="Times New Roman" w:cs="Times New Roman"/>
          <w:sz w:val="24"/>
          <w:szCs w:val="24"/>
        </w:rPr>
        <w:t>М</w:t>
      </w:r>
      <w:proofErr w:type="spellStart"/>
      <w:proofErr w:type="gramEnd"/>
      <w:r w:rsidRPr="00C856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Pr="00C856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856C6">
        <w:rPr>
          <w:rFonts w:ascii="Times New Roman" w:hAnsi="Times New Roman" w:cs="Times New Roman"/>
          <w:sz w:val="24"/>
          <w:szCs w:val="24"/>
        </w:rPr>
        <w:t>– стандартизованные показатели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>, используемые для оценки бюджетного потенциала муниципальных образований;</w:t>
      </w:r>
    </w:p>
    <w:p w:rsidR="00525A5B" w:rsidRPr="00C856C6" w:rsidRDefault="00525A5B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6C6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End"/>
      <w:r w:rsidRPr="00C856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Pr="00C856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856C6">
        <w:rPr>
          <w:rFonts w:ascii="Times New Roman" w:hAnsi="Times New Roman" w:cs="Times New Roman"/>
          <w:sz w:val="24"/>
          <w:szCs w:val="24"/>
        </w:rPr>
        <w:t>– фактическое значение относительного показателя оценки бюджетного потенциала муниципальных образований;</w:t>
      </w:r>
    </w:p>
    <w:p w:rsidR="00525A5B" w:rsidRPr="00C856C6" w:rsidRDefault="00525A5B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856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56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="005B216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CA2943" w:rsidRPr="00C856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5B216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CA2943" w:rsidRPr="00C856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856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– минимальное </w:t>
      </w:r>
      <w:r w:rsidR="00CA2943" w:rsidRPr="00C856C6">
        <w:rPr>
          <w:rFonts w:ascii="Times New Roman" w:eastAsia="TimesNewRomanPSMT" w:hAnsi="Times New Roman" w:cs="Times New Roman"/>
          <w:sz w:val="24"/>
          <w:szCs w:val="24"/>
        </w:rPr>
        <w:t xml:space="preserve">(максимальное)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>значение относительного показателя по каждому муниципалитету в группе;</w:t>
      </w:r>
    </w:p>
    <w:p w:rsidR="00525A5B" w:rsidRPr="00C856C6" w:rsidRDefault="00525A5B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>Если между коэффициентом и бюджетным потенциалом муниципальных образований наблюдается обратная взаимосвязь, то стандартизация показателя производится по формуле 2:</w:t>
      </w:r>
    </w:p>
    <w:p w:rsidR="00554617" w:rsidRPr="00C856C6" w:rsidRDefault="00525A5B" w:rsidP="002E0C0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</w:t>
      </w:r>
      <m:oMath>
        <m:r>
          <w:rPr>
            <w:rFonts w:ascii="Cambria Math" w:eastAsia="TimesNewRomanPSMT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NewRomanPSMT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4"/>
                <w:szCs w:val="24"/>
              </w:rPr>
              <m:t xml:space="preserve">   </m:t>
            </m:r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eastAsia="TimesNewRomanPSMT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  <w:lang w:val="en-US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  <w:lang w:val="en-US"/>
                  </w:rPr>
                  <m:t>K</m:t>
                </m:r>
                <m:ctrlPr>
                  <w:rPr>
                    <w:rFonts w:ascii="Cambria Math" w:eastAsia="TimesNewRomanPSMT" w:hAnsi="Cambria Math" w:cs="Times New Roman"/>
                    <w:sz w:val="24"/>
                    <w:szCs w:val="24"/>
                    <w:lang w:val="en-US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  <w:lang w:val="en-US"/>
                  </w:rPr>
                  <m:t>ij</m:t>
                </m:r>
              </m:sub>
            </m:sSub>
            <m:ctrlP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</m:ctrlPr>
          </m:num>
          <m:den>
            <m:sSub>
              <m:sSubPr>
                <m:ctrl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  <w:lang w:val="en-US"/>
                  </w:rPr>
                  <m:t>max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  <w:lang w:val="en-US"/>
                  </w:rPr>
                  <m:t>K</m:t>
                </m:r>
                <m:ctrlPr>
                  <w:rPr>
                    <w:rFonts w:ascii="Cambria Math" w:eastAsia="TimesNewRomanPSMT" w:hAnsi="Cambria Math" w:cs="Times New Roman"/>
                    <w:sz w:val="24"/>
                    <w:szCs w:val="24"/>
                    <w:lang w:val="en-US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  <w:lang w:val="en-US"/>
                  </w:rPr>
                  <m:t>min</m:t>
                </m:r>
              </m:sub>
            </m:sSub>
          </m:den>
        </m:f>
        <m:r>
          <m:rPr>
            <m:sty m:val="p"/>
          </m:rPr>
          <w:rPr>
            <w:rFonts w:ascii="Cambria Math" w:eastAsia="TimesNewRomanPSMT" w:hAnsi="Cambria Math" w:cs="Times New Roman"/>
            <w:sz w:val="24"/>
            <w:szCs w:val="24"/>
          </w:rPr>
          <m:t>,</m:t>
        </m:r>
      </m:oMath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C856C6">
        <w:rPr>
          <w:rFonts w:ascii="Times New Roman" w:eastAsia="TimesNewRomanPSMT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(2)</w:t>
      </w:r>
    </w:p>
    <w:p w:rsidR="00831993" w:rsidRPr="00C856C6" w:rsidRDefault="00831993" w:rsidP="002E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</w:rPr>
        <w:t xml:space="preserve">С целью унификации разного количества коэффициентов в группе необходимо вычислить укрупненные показатели по формуле 3. </w:t>
      </w:r>
    </w:p>
    <w:p w:rsidR="00831993" w:rsidRPr="00C856C6" w:rsidRDefault="00831993" w:rsidP="002E0C0B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</w:t>
      </w:r>
      <m:oMath>
        <m:sSub>
          <m:sSubPr>
            <m:ctrlPr>
              <w:rPr>
                <w:rFonts w:ascii="Cambria Math" w:eastAsia="TimesNewRomanPSMT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4"/>
                <w:szCs w:val="24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4"/>
                <w:szCs w:val="24"/>
              </w:rPr>
              <m:t>укр.ij</m:t>
            </m:r>
          </m:sub>
        </m:sSub>
        <m:r>
          <m:rPr>
            <m:sty m:val="p"/>
          </m:rPr>
          <w:rPr>
            <w:rFonts w:ascii="Cambria Math" w:eastAsia="TimesNewRomanPSMT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NewRomanPSMT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NewRomanPSMT" w:hAnsi="Cambria Math" w:cs="Times New Roman"/>
                        <w:sz w:val="24"/>
                        <w:szCs w:val="24"/>
                      </w:rPr>
                      <m:t>ij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j</m:t>
                </m:r>
              </m:sub>
            </m:sSub>
          </m:den>
        </m:f>
      </m:oMath>
      <w:r w:rsidRPr="00C856C6">
        <w:rPr>
          <w:rFonts w:ascii="Times New Roman" w:eastAsia="TimesNewRomanPSMT" w:hAnsi="Times New Roman" w:cs="Times New Roman"/>
          <w:sz w:val="24"/>
          <w:szCs w:val="24"/>
        </w:rPr>
        <w:t>,                                                            (3)</w:t>
      </w:r>
    </w:p>
    <w:p w:rsidR="00831993" w:rsidRPr="00C856C6" w:rsidRDefault="00831993" w:rsidP="005B2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>где</w:t>
      </w:r>
      <m:oMath>
        <m:r>
          <w:rPr>
            <w:rFonts w:ascii="Cambria Math" w:eastAsia="TimesNewRomanPSMT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укр.ij</m:t>
            </m:r>
          </m:sub>
        </m:sSub>
      </m:oMath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– укрупненный стандартизованный показатель по группе;</w:t>
      </w:r>
    </w:p>
    <w:p w:rsidR="00831993" w:rsidRPr="00C856C6" w:rsidRDefault="00831993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C856C6">
        <w:rPr>
          <w:rFonts w:ascii="Times New Roman" w:eastAsia="TimesNewRomanPSMT" w:hAnsi="Times New Roman" w:cs="Times New Roman"/>
          <w:sz w:val="24"/>
          <w:szCs w:val="24"/>
          <w:lang w:val="en-US"/>
        </w:rPr>
        <w:t>m</w:t>
      </w:r>
      <w:r w:rsidRPr="00C856C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proofErr w:type="gramEnd"/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– количество коэффициентов в группе.</w:t>
      </w:r>
    </w:p>
    <w:p w:rsidR="006F3B9F" w:rsidRPr="00C856C6" w:rsidRDefault="006F3B9F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>Количественно оценивать уровень бюджетного потенциала муниципальных образований предлагается с помощью расчета интегрального показателя в виде среднего арифметического стандартизованных показателей оценки бюджетного потенциала му</w:t>
      </w:r>
      <w:r w:rsidR="003B25DB" w:rsidRPr="00C856C6">
        <w:rPr>
          <w:rFonts w:ascii="Times New Roman" w:eastAsia="TimesNewRomanPSMT" w:hAnsi="Times New Roman" w:cs="Times New Roman"/>
          <w:sz w:val="24"/>
          <w:szCs w:val="24"/>
        </w:rPr>
        <w:t xml:space="preserve">ниципальных образований (формула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>4):</w:t>
      </w:r>
    </w:p>
    <w:p w:rsidR="006F3B9F" w:rsidRPr="00C856C6" w:rsidRDefault="006F3B9F" w:rsidP="002E0C0B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</w:t>
      </w:r>
      <w:r w:rsidR="003B25DB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3742A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3B25DB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3B25DB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4"/>
                <w:szCs w:val="24"/>
              </w:rPr>
              <m:t>инт.</m:t>
            </m:r>
          </m:sub>
        </m:sSub>
        <m:r>
          <m:rPr>
            <m:sty m:val="p"/>
          </m:rPr>
          <w:rPr>
            <w:rFonts w:ascii="Cambria Math" w:eastAsia="TimesNewRomanPSMT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NewRomanPSMT" w:hAnsi="Cambria Math" w:cs="Times New Roman"/>
                        <w:sz w:val="24"/>
                        <w:szCs w:val="24"/>
                      </w:rPr>
                      <m:t>Mукр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NewRomanPSMT" w:hAnsi="Cambria Math" w:cs="Times New Roman"/>
                        <w:sz w:val="24"/>
                        <w:szCs w:val="24"/>
                      </w:rPr>
                      <m:t>ij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4"/>
                <w:szCs w:val="24"/>
              </w:rPr>
              <m:t>p</m:t>
            </m:r>
          </m:den>
        </m:f>
        <m:r>
          <m:rPr>
            <m:sty m:val="p"/>
          </m:rPr>
          <w:rPr>
            <w:rFonts w:ascii="Cambria Math" w:eastAsia="TimesNewRomanPSMT" w:hAnsi="Cambria Math" w:cs="Times New Roman"/>
            <w:sz w:val="24"/>
            <w:szCs w:val="24"/>
          </w:rPr>
          <m:t xml:space="preserve"> </m:t>
        </m:r>
      </m:oMath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,                   </w:t>
      </w:r>
      <w:r w:rsidR="003B25DB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3B25DB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3B25DB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3B25DB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B25DB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3B25DB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      (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>4)</w:t>
      </w:r>
    </w:p>
    <w:p w:rsidR="006F3B9F" w:rsidRPr="00C856C6" w:rsidRDefault="006F3B9F" w:rsidP="002E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856C6">
        <w:rPr>
          <w:rFonts w:ascii="Times New Roman" w:hAnsi="Times New Roman" w:cs="Times New Roman"/>
          <w:sz w:val="24"/>
          <w:szCs w:val="24"/>
        </w:rPr>
        <w:t>К</w:t>
      </w:r>
      <w:r w:rsidRPr="00C856C6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proofErr w:type="spellEnd"/>
      <w:r w:rsidRPr="00C856C6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C856C6">
        <w:rPr>
          <w:rFonts w:ascii="Times New Roman" w:hAnsi="Times New Roman" w:cs="Times New Roman"/>
          <w:sz w:val="24"/>
          <w:szCs w:val="24"/>
        </w:rPr>
        <w:t>– интегральный коэффициент уровня бюджетного потенциала региона;</w:t>
      </w:r>
    </w:p>
    <w:p w:rsidR="006F3B9F" w:rsidRPr="00C856C6" w:rsidRDefault="006F3B9F" w:rsidP="002E0C0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</w:rPr>
        <w:t>М</w:t>
      </w:r>
      <w:r w:rsidRPr="00C856C6">
        <w:rPr>
          <w:rFonts w:ascii="Times New Roman" w:hAnsi="Times New Roman" w:cs="Times New Roman"/>
          <w:sz w:val="24"/>
          <w:szCs w:val="24"/>
          <w:vertAlign w:val="subscript"/>
        </w:rPr>
        <w:t>укр</w:t>
      </w:r>
      <w:proofErr w:type="spellStart"/>
      <w:proofErr w:type="gramStart"/>
      <w:r w:rsidRPr="00C856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proofErr w:type="gramEnd"/>
      <w:r w:rsidRPr="00C856C6">
        <w:rPr>
          <w:rFonts w:ascii="Times New Roman" w:hAnsi="Times New Roman" w:cs="Times New Roman"/>
          <w:sz w:val="24"/>
          <w:szCs w:val="24"/>
        </w:rPr>
        <w:t xml:space="preserve"> – стандартизованные показатели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>, используемые для оценки бюджетного потенциала муниципальных образований;</w:t>
      </w:r>
    </w:p>
    <w:p w:rsidR="006F3B9F" w:rsidRPr="00C856C6" w:rsidRDefault="006F3B9F" w:rsidP="002E0C0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  <w:lang w:val="en-US"/>
        </w:rPr>
        <w:t>p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proofErr w:type="gramStart"/>
      <w:r w:rsidRPr="00C856C6">
        <w:rPr>
          <w:rFonts w:ascii="Times New Roman" w:eastAsia="TimesNewRomanPSMT" w:hAnsi="Times New Roman" w:cs="Times New Roman"/>
          <w:sz w:val="24"/>
          <w:szCs w:val="24"/>
        </w:rPr>
        <w:t>общее</w:t>
      </w:r>
      <w:proofErr w:type="gramEnd"/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количество укрупненных показателей.</w:t>
      </w:r>
    </w:p>
    <w:p w:rsidR="0036447E" w:rsidRPr="00C856C6" w:rsidRDefault="0036447E" w:rsidP="002E0C0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>С помощью полученного интегрального показателя возможно сравнение величины бюджетного потенциала разных муниципальны</w:t>
      </w:r>
      <w:r w:rsidR="0003742A" w:rsidRPr="00C856C6">
        <w:rPr>
          <w:rFonts w:ascii="Times New Roman" w:eastAsia="TimesNewRomanPSMT" w:hAnsi="Times New Roman" w:cs="Times New Roman"/>
          <w:sz w:val="24"/>
          <w:szCs w:val="24"/>
        </w:rPr>
        <w:t>х образований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в динамике, построения рейтинга муниципальных образований по величине бюджетного потенциала. Максимальное значение каждого укрупненного показателя равно 1, соответственно, величина интегрального показателя варьируется в пределах от 0 до 1. Квалификация уровня бюджетного потенциала муниципальных образований </w:t>
      </w:r>
      <w:r w:rsidR="00467537" w:rsidRPr="00C856C6">
        <w:rPr>
          <w:rFonts w:ascii="Times New Roman" w:eastAsia="TimesNewRomanPSMT" w:hAnsi="Times New Roman" w:cs="Times New Roman"/>
          <w:sz w:val="24"/>
          <w:szCs w:val="24"/>
        </w:rPr>
        <w:t>определяется в соответствии со значением интегрального показателя:</w:t>
      </w:r>
    </w:p>
    <w:p w:rsidR="00467537" w:rsidRPr="00C856C6" w:rsidRDefault="005F47CB" w:rsidP="002E0C0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>1.</w:t>
      </w:r>
      <w:r w:rsidR="0003742A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11A38" w:rsidRPr="00C856C6">
        <w:rPr>
          <w:rFonts w:ascii="Times New Roman" w:eastAsia="TimesNewRomanPSMT" w:hAnsi="Times New Roman" w:cs="Times New Roman"/>
          <w:sz w:val="24"/>
          <w:szCs w:val="24"/>
        </w:rPr>
        <w:t xml:space="preserve">Значение </w:t>
      </w:r>
      <w:proofErr w:type="spellStart"/>
      <w:r w:rsidR="00467537" w:rsidRPr="00C856C6">
        <w:rPr>
          <w:rFonts w:ascii="Times New Roman" w:eastAsia="TimesNewRomanPSMT" w:hAnsi="Times New Roman" w:cs="Times New Roman"/>
          <w:sz w:val="24"/>
          <w:szCs w:val="24"/>
        </w:rPr>
        <w:t>К</w:t>
      </w:r>
      <w:r w:rsidR="00611A38" w:rsidRPr="00C856C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инт</w:t>
      </w:r>
      <w:proofErr w:type="spellEnd"/>
      <w:r w:rsidR="00611A38" w:rsidRPr="00C856C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.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>менее 0,25 – низкий уровень бюджетного потенциала муниципального образования;</w:t>
      </w:r>
    </w:p>
    <w:p w:rsidR="005F47CB" w:rsidRPr="00C856C6" w:rsidRDefault="005F47CB" w:rsidP="002E0C0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="00611A38" w:rsidRPr="00C856C6">
        <w:rPr>
          <w:rFonts w:ascii="Times New Roman" w:eastAsia="TimesNewRomanPSMT" w:hAnsi="Times New Roman" w:cs="Times New Roman"/>
          <w:sz w:val="24"/>
          <w:szCs w:val="24"/>
        </w:rPr>
        <w:t xml:space="preserve">Значение </w:t>
      </w:r>
      <w:proofErr w:type="spellStart"/>
      <w:r w:rsidRPr="00C856C6"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C856C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инт</w:t>
      </w:r>
      <w:proofErr w:type="spellEnd"/>
      <w:r w:rsidRPr="00C856C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. 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>в пределах</w:t>
      </w:r>
      <w:r w:rsidRPr="00C856C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>от 0,25 включительно до 0,5 – уровень бюджетного потенциала мун</w:t>
      </w:r>
      <w:r w:rsidR="005B2169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>ципалитета ниже среднего;</w:t>
      </w:r>
    </w:p>
    <w:p w:rsidR="005F47CB" w:rsidRPr="00C856C6" w:rsidRDefault="005F47CB" w:rsidP="002E0C0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>3.</w:t>
      </w:r>
      <w:r w:rsidR="00611A38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Значение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856C6">
        <w:rPr>
          <w:rFonts w:ascii="Times New Roman" w:eastAsia="TimesNewRomanPSMT" w:hAnsi="Times New Roman" w:cs="Times New Roman"/>
          <w:sz w:val="24"/>
          <w:szCs w:val="24"/>
        </w:rPr>
        <w:t>К</w:t>
      </w:r>
      <w:r w:rsidR="00611A38" w:rsidRPr="00C856C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инт</w:t>
      </w:r>
      <w:proofErr w:type="spellEnd"/>
      <w:r w:rsidR="00611A38" w:rsidRPr="00C856C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.</w:t>
      </w:r>
      <w:r w:rsidRPr="00C856C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в пределах от  0,5 до 0,75 включительно </w:t>
      </w:r>
      <w:r w:rsidR="00611A38" w:rsidRPr="00C856C6">
        <w:rPr>
          <w:rFonts w:ascii="Times New Roman" w:eastAsia="TimesNewRomanPSMT" w:hAnsi="Times New Roman" w:cs="Times New Roman"/>
          <w:sz w:val="24"/>
          <w:szCs w:val="24"/>
        </w:rPr>
        <w:t>– средний уровень бюджетного потенциала;</w:t>
      </w:r>
    </w:p>
    <w:p w:rsidR="00611A38" w:rsidRPr="00C856C6" w:rsidRDefault="00611A38" w:rsidP="002E0C0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 xml:space="preserve">4. Значение </w:t>
      </w:r>
      <w:proofErr w:type="spellStart"/>
      <w:r w:rsidRPr="00C856C6"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C856C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инт</w:t>
      </w:r>
      <w:proofErr w:type="spellEnd"/>
      <w:r w:rsidRPr="00C856C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. </w:t>
      </w:r>
      <w:r w:rsidRPr="00C856C6">
        <w:rPr>
          <w:rFonts w:ascii="Times New Roman" w:eastAsia="TimesNewRomanPSMT" w:hAnsi="Times New Roman" w:cs="Times New Roman"/>
          <w:sz w:val="24"/>
          <w:szCs w:val="24"/>
        </w:rPr>
        <w:t>более 0,75 – высокий уровень бюджетного потенциала муниципалитета.</w:t>
      </w:r>
    </w:p>
    <w:p w:rsidR="0036447E" w:rsidRPr="00C856C6" w:rsidRDefault="00FF144A" w:rsidP="00C8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</w:rPr>
        <w:t>П</w:t>
      </w:r>
      <w:r w:rsidR="0036447E" w:rsidRPr="00C856C6">
        <w:rPr>
          <w:rFonts w:ascii="Times New Roman" w:hAnsi="Times New Roman" w:cs="Times New Roman"/>
          <w:sz w:val="24"/>
          <w:szCs w:val="24"/>
        </w:rPr>
        <w:t>редложенная методика позволит произвести оценку бюджетного потенциала муниципальных образований с возможностью распределения муниципалитетов по уровню использования потенциала. Положенный в основу методики коэффициентный анализ и выделение интегрального показателя дает возможность сравнивать бюджетный потенциал как одного муниципалитета в динамике, так и нескольких муниципальных образований.</w:t>
      </w:r>
    </w:p>
    <w:p w:rsidR="000D2AE9" w:rsidRPr="00C856C6" w:rsidRDefault="000D2AE9" w:rsidP="002E0C0B">
      <w:pPr>
        <w:widowControl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C856C6" w:rsidRPr="00C856C6" w:rsidRDefault="00C856C6" w:rsidP="002E0C0B">
      <w:pPr>
        <w:widowControl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856C6" w:rsidRPr="00C856C6" w:rsidRDefault="00C856C6" w:rsidP="002E0C0B">
      <w:pPr>
        <w:widowControl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FF144A" w:rsidRPr="00C856C6" w:rsidRDefault="00FF144A" w:rsidP="002E0C0B">
      <w:pPr>
        <w:widowControl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 xml:space="preserve">Библиографический список </w:t>
      </w:r>
    </w:p>
    <w:p w:rsidR="000D2AE9" w:rsidRPr="00C856C6" w:rsidRDefault="00611A38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D2AE9" w:rsidRPr="00C856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D2AE9" w:rsidRPr="00C8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E9" w:rsidRPr="00C856C6">
        <w:rPr>
          <w:rFonts w:ascii="Times New Roman" w:hAnsi="Times New Roman" w:cs="Times New Roman"/>
          <w:sz w:val="24"/>
          <w:szCs w:val="24"/>
        </w:rPr>
        <w:t>Голодова</w:t>
      </w:r>
      <w:proofErr w:type="spellEnd"/>
      <w:r w:rsidR="000D2AE9" w:rsidRPr="00C856C6">
        <w:rPr>
          <w:rFonts w:ascii="Times New Roman" w:hAnsi="Times New Roman" w:cs="Times New Roman"/>
          <w:sz w:val="24"/>
          <w:szCs w:val="24"/>
        </w:rPr>
        <w:t xml:space="preserve">, Ж.Г. Оценка бюджетно-налогового потенциала региона в условиях реформирования системы межбюджетных отношений [Текст] / Ж.Г. </w:t>
      </w:r>
      <w:proofErr w:type="spellStart"/>
      <w:r w:rsidR="000D2AE9" w:rsidRPr="00C856C6">
        <w:rPr>
          <w:rFonts w:ascii="Times New Roman" w:hAnsi="Times New Roman" w:cs="Times New Roman"/>
          <w:sz w:val="24"/>
          <w:szCs w:val="24"/>
        </w:rPr>
        <w:t>Голодова</w:t>
      </w:r>
      <w:proofErr w:type="spellEnd"/>
      <w:r w:rsidR="000D2AE9" w:rsidRPr="00C856C6">
        <w:rPr>
          <w:rFonts w:ascii="Times New Roman" w:hAnsi="Times New Roman" w:cs="Times New Roman"/>
          <w:sz w:val="24"/>
          <w:szCs w:val="24"/>
        </w:rPr>
        <w:t xml:space="preserve"> // Финансы и кредит. – 2009. – № 5. – С. 33-40.</w:t>
      </w:r>
    </w:p>
    <w:p w:rsidR="000D2AE9" w:rsidRPr="00C856C6" w:rsidRDefault="00611A38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D2AE9" w:rsidRPr="00C856C6">
        <w:rPr>
          <w:rFonts w:ascii="Times New Roman" w:hAnsi="Times New Roman" w:cs="Times New Roman"/>
          <w:sz w:val="24"/>
          <w:szCs w:val="24"/>
          <w:shd w:val="clear" w:color="auto" w:fill="FFFFFF"/>
        </w:rPr>
        <w:t>. Зенченко, С. В. </w:t>
      </w:r>
      <w:r w:rsidR="000D2AE9" w:rsidRPr="00C856C6">
        <w:rPr>
          <w:rFonts w:ascii="Times New Roman" w:hAnsi="Times New Roman" w:cs="Times New Roman"/>
          <w:sz w:val="24"/>
          <w:szCs w:val="24"/>
        </w:rPr>
        <w:t>Бюджетный</w:t>
      </w:r>
      <w:r w:rsidR="000D2AE9" w:rsidRPr="00C8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потенциал региона и </w:t>
      </w:r>
      <w:proofErr w:type="gramStart"/>
      <w:r w:rsidR="000D2AE9" w:rsidRPr="00C856C6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методические подходы</w:t>
      </w:r>
      <w:proofErr w:type="gramEnd"/>
      <w:r w:rsidR="000D2AE9" w:rsidRPr="00C8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его оценке </w:t>
      </w:r>
      <w:r w:rsidR="000D2AE9" w:rsidRPr="00C856C6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0D2AE9" w:rsidRPr="00C8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C.B. Зенченко. // Региональные проблемы преобразования экономики. </w:t>
      </w:r>
      <w:r w:rsidR="000D2AE9" w:rsidRPr="00C856C6">
        <w:rPr>
          <w:rFonts w:ascii="Times New Roman" w:hAnsi="Times New Roman" w:cs="Times New Roman"/>
          <w:sz w:val="24"/>
          <w:szCs w:val="24"/>
        </w:rPr>
        <w:t>–</w:t>
      </w:r>
      <w:r w:rsidR="000D2AE9" w:rsidRPr="00C8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РАН </w:t>
      </w:r>
      <w:r w:rsidR="000D2AE9" w:rsidRPr="00C856C6">
        <w:rPr>
          <w:rFonts w:ascii="Times New Roman" w:hAnsi="Times New Roman" w:cs="Times New Roman"/>
          <w:sz w:val="24"/>
          <w:szCs w:val="24"/>
        </w:rPr>
        <w:t>ИСЭИ</w:t>
      </w:r>
      <w:r w:rsidR="000D2AE9" w:rsidRPr="00C8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ДНЦ, г. Махачкала. </w:t>
      </w:r>
      <w:r w:rsidR="000D2AE9" w:rsidRPr="00C856C6">
        <w:rPr>
          <w:rFonts w:ascii="Times New Roman" w:hAnsi="Times New Roman" w:cs="Times New Roman"/>
          <w:sz w:val="24"/>
          <w:szCs w:val="24"/>
        </w:rPr>
        <w:t>–</w:t>
      </w:r>
      <w:r w:rsidR="000D2AE9" w:rsidRPr="00C8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2008. </w:t>
      </w:r>
      <w:r w:rsidR="000D2AE9" w:rsidRPr="00C856C6">
        <w:rPr>
          <w:rFonts w:ascii="Times New Roman" w:hAnsi="Times New Roman" w:cs="Times New Roman"/>
          <w:sz w:val="24"/>
          <w:szCs w:val="24"/>
        </w:rPr>
        <w:t>–</w:t>
      </w:r>
      <w:r w:rsidR="000D2AE9" w:rsidRPr="00C8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№1(14). </w:t>
      </w:r>
      <w:r w:rsidR="000D2AE9" w:rsidRPr="00C856C6">
        <w:rPr>
          <w:rFonts w:ascii="Times New Roman" w:hAnsi="Times New Roman" w:cs="Times New Roman"/>
          <w:sz w:val="24"/>
          <w:szCs w:val="24"/>
        </w:rPr>
        <w:t>– С. 186-198.</w:t>
      </w:r>
    </w:p>
    <w:p w:rsidR="000D2AE9" w:rsidRPr="00C856C6" w:rsidRDefault="00D3348F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6C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0D2AE9" w:rsidRPr="00C856C6">
        <w:rPr>
          <w:rFonts w:ascii="Times New Roman" w:hAnsi="Times New Roman" w:cs="Times New Roman"/>
          <w:bCs/>
          <w:color w:val="000000"/>
          <w:sz w:val="24"/>
          <w:szCs w:val="24"/>
        </w:rPr>
        <w:t>. Ильин, В.А. Проблемы эффективности государственного управления. Тенденции рыночных трансформаций. Кризис бюджетной системы. Роль частного капитала. Стратегия-2020: проблемы реализации</w:t>
      </w:r>
      <w:r w:rsidR="000D2AE9" w:rsidRPr="00C856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D2AE9" w:rsidRPr="00C856C6">
        <w:rPr>
          <w:rFonts w:ascii="Times New Roman" w:hAnsi="Times New Roman" w:cs="Times New Roman"/>
          <w:color w:val="000000"/>
          <w:sz w:val="24"/>
          <w:szCs w:val="24"/>
        </w:rPr>
        <w:t>[Текст]: монография /</w:t>
      </w:r>
      <w:r w:rsidR="000D2AE9" w:rsidRPr="00C856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D2AE9" w:rsidRPr="00C856C6">
        <w:rPr>
          <w:rFonts w:ascii="Times New Roman" w:hAnsi="Times New Roman" w:cs="Times New Roman"/>
          <w:sz w:val="24"/>
          <w:szCs w:val="24"/>
        </w:rPr>
        <w:t>В.А. Ильин</w:t>
      </w:r>
      <w:r w:rsidR="000D2AE9" w:rsidRPr="00C856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2AE9" w:rsidRPr="00C856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D2AE9" w:rsidRPr="00C856C6">
        <w:rPr>
          <w:rFonts w:ascii="Times New Roman" w:hAnsi="Times New Roman" w:cs="Times New Roman"/>
          <w:sz w:val="24"/>
          <w:szCs w:val="24"/>
        </w:rPr>
        <w:t>А.И. Поварова</w:t>
      </w:r>
      <w:r w:rsidR="000D2AE9" w:rsidRPr="00C856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3A50" w:rsidRPr="00C856C6">
        <w:rPr>
          <w:rFonts w:ascii="Times New Roman" w:hAnsi="Times New Roman" w:cs="Times New Roman"/>
          <w:sz w:val="24"/>
          <w:szCs w:val="24"/>
        </w:rPr>
        <w:t>–</w:t>
      </w:r>
      <w:r w:rsidR="000D2AE9" w:rsidRPr="00C856C6">
        <w:rPr>
          <w:rFonts w:ascii="Times New Roman" w:hAnsi="Times New Roman" w:cs="Times New Roman"/>
          <w:color w:val="000000"/>
          <w:sz w:val="24"/>
          <w:szCs w:val="24"/>
        </w:rPr>
        <w:t xml:space="preserve"> Вологда: ИСЭРТ РАН, 2014. </w:t>
      </w:r>
      <w:r w:rsidR="007C3A50" w:rsidRPr="00C856C6">
        <w:rPr>
          <w:rFonts w:ascii="Times New Roman" w:hAnsi="Times New Roman" w:cs="Times New Roman"/>
          <w:sz w:val="24"/>
          <w:szCs w:val="24"/>
        </w:rPr>
        <w:t>–</w:t>
      </w:r>
      <w:r w:rsidR="000D2AE9" w:rsidRPr="00C856C6">
        <w:rPr>
          <w:rFonts w:ascii="Times New Roman" w:hAnsi="Times New Roman" w:cs="Times New Roman"/>
          <w:color w:val="000000"/>
          <w:sz w:val="24"/>
          <w:szCs w:val="24"/>
        </w:rPr>
        <w:t xml:space="preserve"> 188 c.</w:t>
      </w:r>
    </w:p>
    <w:p w:rsidR="000D2AE9" w:rsidRPr="00C856C6" w:rsidRDefault="00D3348F" w:rsidP="002E0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6C6">
        <w:rPr>
          <w:rFonts w:ascii="Times New Roman" w:eastAsia="Calibri" w:hAnsi="Times New Roman" w:cs="Times New Roman"/>
          <w:sz w:val="24"/>
          <w:szCs w:val="24"/>
        </w:rPr>
        <w:t>4</w:t>
      </w:r>
      <w:r w:rsidR="000F62B7" w:rsidRPr="00C856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D2AE9" w:rsidRPr="00C856C6">
        <w:rPr>
          <w:rFonts w:ascii="Times New Roman" w:eastAsia="Calibri" w:hAnsi="Times New Roman" w:cs="Times New Roman"/>
          <w:sz w:val="24"/>
          <w:szCs w:val="24"/>
        </w:rPr>
        <w:t>Ускова</w:t>
      </w:r>
      <w:proofErr w:type="spellEnd"/>
      <w:r w:rsidR="00841A17" w:rsidRPr="00C856C6">
        <w:rPr>
          <w:rFonts w:ascii="Times New Roman" w:eastAsia="Calibri" w:hAnsi="Times New Roman" w:cs="Times New Roman"/>
          <w:sz w:val="24"/>
          <w:szCs w:val="24"/>
        </w:rPr>
        <w:t>,</w:t>
      </w:r>
      <w:r w:rsidR="000D2AE9" w:rsidRPr="00C856C6">
        <w:rPr>
          <w:rFonts w:ascii="Times New Roman" w:eastAsia="Calibri" w:hAnsi="Times New Roman" w:cs="Times New Roman"/>
          <w:sz w:val="24"/>
          <w:szCs w:val="24"/>
        </w:rPr>
        <w:t xml:space="preserve"> Т.В. Мониторинг развития муниципальных образований</w:t>
      </w:r>
      <w:r w:rsidR="000D2AE9" w:rsidRPr="00C856C6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0D2AE9" w:rsidRPr="00C856C6">
        <w:rPr>
          <w:rFonts w:ascii="Times New Roman" w:eastAsia="Calibri" w:hAnsi="Times New Roman" w:cs="Times New Roman"/>
          <w:sz w:val="24"/>
          <w:szCs w:val="24"/>
        </w:rPr>
        <w:t>: монография / Т.В. Ускова, А.Н. Зуев, А.А. Смирнов, под ред. В.И. Ильина.</w:t>
      </w:r>
      <w:r w:rsidR="000D2AE9" w:rsidRPr="00C856C6">
        <w:rPr>
          <w:rFonts w:ascii="Times New Roman" w:hAnsi="Times New Roman" w:cs="Times New Roman"/>
          <w:sz w:val="24"/>
          <w:szCs w:val="24"/>
        </w:rPr>
        <w:t xml:space="preserve"> –</w:t>
      </w:r>
      <w:r w:rsidR="000D2AE9" w:rsidRPr="00C856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2AE9" w:rsidRPr="00C856C6">
        <w:rPr>
          <w:rFonts w:ascii="Times New Roman" w:eastAsia="Calibri" w:hAnsi="Times New Roman" w:cs="Times New Roman"/>
          <w:sz w:val="24"/>
          <w:szCs w:val="24"/>
        </w:rPr>
        <w:t xml:space="preserve"> Вологда: ИСЭРТ РАН, 2002.</w:t>
      </w:r>
      <w:r w:rsidR="000D2AE9" w:rsidRPr="00C856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2AE9" w:rsidRPr="00C856C6">
        <w:rPr>
          <w:rFonts w:ascii="Times New Roman" w:hAnsi="Times New Roman" w:cs="Times New Roman"/>
          <w:sz w:val="24"/>
          <w:szCs w:val="24"/>
        </w:rPr>
        <w:t>–</w:t>
      </w:r>
      <w:r w:rsidR="000D2AE9" w:rsidRPr="00C856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2AE9" w:rsidRPr="00C856C6">
        <w:rPr>
          <w:rFonts w:ascii="Times New Roman" w:hAnsi="Times New Roman" w:cs="Times New Roman"/>
          <w:sz w:val="24"/>
          <w:szCs w:val="24"/>
        </w:rPr>
        <w:t xml:space="preserve"> </w:t>
      </w:r>
      <w:r w:rsidR="000D2AE9" w:rsidRPr="00C856C6">
        <w:rPr>
          <w:rFonts w:ascii="Times New Roman" w:eastAsia="Calibri" w:hAnsi="Times New Roman" w:cs="Times New Roman"/>
          <w:sz w:val="24"/>
          <w:szCs w:val="24"/>
        </w:rPr>
        <w:t>126 с.</w:t>
      </w:r>
    </w:p>
    <w:p w:rsidR="00FF144A" w:rsidRPr="00C856C6" w:rsidRDefault="00D3348F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0F62B7" w:rsidRPr="00C856C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0D2AE9" w:rsidRPr="00C856C6">
        <w:rPr>
          <w:rFonts w:ascii="Times New Roman" w:eastAsia="TimesNewRomanPSMT" w:hAnsi="Times New Roman" w:cs="Times New Roman"/>
          <w:sz w:val="24"/>
          <w:szCs w:val="24"/>
        </w:rPr>
        <w:t xml:space="preserve">Яшин, С.Н. Некоторые аспекты анализа бюджетного потенциала муниципальных образований  [Текст] / С.Н. Яшин, Н.И. Яшина  // Финансы и кредит. – 2003.  </w:t>
      </w:r>
      <w:r w:rsidR="000D2AE9" w:rsidRPr="00C856C6">
        <w:rPr>
          <w:rFonts w:ascii="Times New Roman" w:hAnsi="Times New Roman" w:cs="Times New Roman"/>
          <w:sz w:val="24"/>
          <w:szCs w:val="24"/>
        </w:rPr>
        <w:t>–</w:t>
      </w:r>
      <w:r w:rsidR="000D2AE9" w:rsidRPr="00C856C6">
        <w:rPr>
          <w:rFonts w:ascii="Times New Roman" w:eastAsia="TimesNewRomanPSMT" w:hAnsi="Times New Roman" w:cs="Times New Roman"/>
          <w:sz w:val="24"/>
          <w:szCs w:val="24"/>
        </w:rPr>
        <w:t xml:space="preserve"> № 5 (119). </w:t>
      </w:r>
      <w:r w:rsidR="000D2AE9" w:rsidRPr="00C856C6">
        <w:rPr>
          <w:rFonts w:ascii="Times New Roman" w:hAnsi="Times New Roman" w:cs="Times New Roman"/>
          <w:sz w:val="24"/>
          <w:szCs w:val="24"/>
        </w:rPr>
        <w:t>– С. 35-44.</w:t>
      </w:r>
    </w:p>
    <w:p w:rsidR="00AA3C49" w:rsidRPr="00C856C6" w:rsidRDefault="00AA3C49" w:rsidP="002E0C0B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43DB2" w:rsidRPr="00C856C6" w:rsidRDefault="00B43DB2" w:rsidP="002E0C0B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856C6">
        <w:rPr>
          <w:rFonts w:ascii="Times New Roman" w:eastAsia="TimesNewRomanPSMT" w:hAnsi="Times New Roman" w:cs="Times New Roman"/>
          <w:b/>
          <w:sz w:val="24"/>
          <w:szCs w:val="24"/>
        </w:rPr>
        <w:t>Информация об авторе</w:t>
      </w:r>
    </w:p>
    <w:p w:rsidR="00B43DB2" w:rsidRPr="00C856C6" w:rsidRDefault="00B43DB2" w:rsidP="002E0C0B">
      <w:pPr>
        <w:pStyle w:val="4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</w:rPr>
      </w:pPr>
      <w:proofErr w:type="gramStart"/>
      <w:r w:rsidRPr="00C856C6">
        <w:rPr>
          <w:rFonts w:eastAsia="TimesNewRomanPSMT"/>
          <w:b w:val="0"/>
        </w:rPr>
        <w:t>Микляева Ксения Алексеевна (Россия, г.</w:t>
      </w:r>
      <w:r w:rsidR="00374EAE" w:rsidRPr="00C856C6">
        <w:rPr>
          <w:rFonts w:eastAsia="TimesNewRomanPSMT"/>
          <w:b w:val="0"/>
        </w:rPr>
        <w:t xml:space="preserve"> </w:t>
      </w:r>
      <w:r w:rsidRPr="00C856C6">
        <w:rPr>
          <w:rFonts w:eastAsia="TimesNewRomanPSMT"/>
          <w:b w:val="0"/>
        </w:rPr>
        <w:t xml:space="preserve">Вологда) </w:t>
      </w:r>
      <w:r w:rsidRPr="00C856C6">
        <w:rPr>
          <w:rFonts w:eastAsia="Calibri"/>
          <w:b w:val="0"/>
          <w:lang w:eastAsia="en-US"/>
        </w:rPr>
        <w:t>–</w:t>
      </w:r>
      <w:r w:rsidRPr="00C856C6">
        <w:rPr>
          <w:rFonts w:eastAsia="Calibri"/>
          <w:b w:val="0"/>
        </w:rPr>
        <w:t xml:space="preserve"> аспирант, инженер-исследователь, ФГБУН ИСЭРТ РАН (</w:t>
      </w:r>
      <w:r w:rsidRPr="00C856C6">
        <w:rPr>
          <w:b w:val="0"/>
          <w:bCs w:val="0"/>
          <w:color w:val="000000"/>
        </w:rPr>
        <w:t xml:space="preserve">160014, г. Вологда, ул. Горького, д. 56а, </w:t>
      </w:r>
      <w:r w:rsidR="00001185" w:rsidRPr="00C856C6">
        <w:rPr>
          <w:b w:val="0"/>
          <w:bCs w:val="0"/>
          <w:color w:val="000000"/>
          <w:lang w:val="en-US"/>
        </w:rPr>
        <w:t>e</w:t>
      </w:r>
      <w:r w:rsidR="00001185" w:rsidRPr="00C856C6">
        <w:rPr>
          <w:b w:val="0"/>
          <w:bCs w:val="0"/>
          <w:color w:val="000000"/>
        </w:rPr>
        <w:t>-</w:t>
      </w:r>
      <w:r w:rsidR="00001185" w:rsidRPr="00C856C6">
        <w:rPr>
          <w:b w:val="0"/>
          <w:bCs w:val="0"/>
          <w:color w:val="000000"/>
          <w:lang w:val="en-US"/>
        </w:rPr>
        <w:t>mail</w:t>
      </w:r>
      <w:r w:rsidR="00001185" w:rsidRPr="00C856C6">
        <w:rPr>
          <w:b w:val="0"/>
          <w:bCs w:val="0"/>
          <w:color w:val="000000"/>
        </w:rPr>
        <w:t xml:space="preserve">: </w:t>
      </w:r>
      <w:hyperlink r:id="rId8" w:history="1">
        <w:r w:rsidR="00374EAE" w:rsidRPr="00C856C6">
          <w:rPr>
            <w:rStyle w:val="a6"/>
            <w:b w:val="0"/>
            <w:bCs w:val="0"/>
            <w:color w:val="auto"/>
          </w:rPr>
          <w:t>common@vscc.ac.ru</w:t>
        </w:r>
      </w:hyperlink>
      <w:r w:rsidRPr="00C856C6">
        <w:rPr>
          <w:rFonts w:eastAsia="Calibri"/>
          <w:b w:val="0"/>
        </w:rPr>
        <w:t>)</w:t>
      </w:r>
      <w:r w:rsidR="00001185" w:rsidRPr="00C856C6">
        <w:rPr>
          <w:rFonts w:eastAsia="Calibri"/>
          <w:b w:val="0"/>
        </w:rPr>
        <w:t>.</w:t>
      </w:r>
      <w:proofErr w:type="gramEnd"/>
    </w:p>
    <w:p w:rsidR="00374EAE" w:rsidRPr="00C856C6" w:rsidRDefault="00374EAE" w:rsidP="002E0C0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</w:rPr>
      </w:pPr>
    </w:p>
    <w:p w:rsidR="00374EAE" w:rsidRPr="00C856C6" w:rsidRDefault="00374EAE" w:rsidP="002E0C0B">
      <w:pPr>
        <w:pStyle w:val="4"/>
        <w:shd w:val="clear" w:color="auto" w:fill="FFFFFF"/>
        <w:spacing w:before="0" w:beforeAutospacing="0" w:after="0" w:afterAutospacing="0"/>
        <w:jc w:val="right"/>
        <w:rPr>
          <w:bCs w:val="0"/>
          <w:color w:val="000000"/>
        </w:rPr>
      </w:pPr>
      <w:r w:rsidRPr="00C856C6">
        <w:rPr>
          <w:bCs w:val="0"/>
          <w:color w:val="000000"/>
          <w:lang w:val="en-US"/>
        </w:rPr>
        <w:t>Miklyaeva</w:t>
      </w:r>
      <w:r w:rsidRPr="00C856C6">
        <w:rPr>
          <w:bCs w:val="0"/>
          <w:color w:val="000000"/>
        </w:rPr>
        <w:t xml:space="preserve"> </w:t>
      </w:r>
      <w:r w:rsidRPr="00C856C6">
        <w:rPr>
          <w:bCs w:val="0"/>
          <w:color w:val="000000"/>
          <w:lang w:val="en-US"/>
        </w:rPr>
        <w:t>K</w:t>
      </w:r>
      <w:r w:rsidRPr="00C856C6">
        <w:rPr>
          <w:bCs w:val="0"/>
          <w:color w:val="000000"/>
        </w:rPr>
        <w:t>.</w:t>
      </w:r>
      <w:r w:rsidRPr="00C856C6">
        <w:rPr>
          <w:bCs w:val="0"/>
          <w:color w:val="000000"/>
          <w:lang w:val="en-US"/>
        </w:rPr>
        <w:t>A</w:t>
      </w:r>
      <w:r w:rsidRPr="00C856C6">
        <w:rPr>
          <w:bCs w:val="0"/>
          <w:color w:val="000000"/>
        </w:rPr>
        <w:t>.</w:t>
      </w:r>
    </w:p>
    <w:p w:rsidR="00841A17" w:rsidRPr="00C856C6" w:rsidRDefault="00374EAE" w:rsidP="002E0C0B">
      <w:pPr>
        <w:pStyle w:val="4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lang w:val="en-US"/>
        </w:rPr>
      </w:pPr>
      <w:r w:rsidRPr="00C856C6">
        <w:rPr>
          <w:bCs w:val="0"/>
          <w:color w:val="000000"/>
          <w:lang w:val="en-US"/>
        </w:rPr>
        <w:t xml:space="preserve">METHODOLOGICAL ASPECTS </w:t>
      </w:r>
      <w:r w:rsidR="00410271">
        <w:rPr>
          <w:bCs w:val="0"/>
          <w:color w:val="000000"/>
          <w:lang w:val="en-US"/>
        </w:rPr>
        <w:t>OF EVALUATION OF BUDGETARY POTENTIAL</w:t>
      </w:r>
      <w:r w:rsidRPr="00C856C6">
        <w:rPr>
          <w:bCs w:val="0"/>
          <w:color w:val="000000"/>
          <w:lang w:val="en-US"/>
        </w:rPr>
        <w:t xml:space="preserve"> OF MUNICIPALITIES</w:t>
      </w:r>
    </w:p>
    <w:p w:rsidR="009E2354" w:rsidRPr="00C856C6" w:rsidRDefault="009E2354" w:rsidP="00410271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lang w:val="en-US"/>
        </w:rPr>
      </w:pPr>
      <w:r w:rsidRPr="00C856C6">
        <w:rPr>
          <w:b w:val="0"/>
          <w:i/>
          <w:lang w:val="en-US"/>
        </w:rPr>
        <w:t>The article</w:t>
      </w:r>
      <w:r w:rsidR="00410271" w:rsidRPr="00410271">
        <w:rPr>
          <w:b w:val="0"/>
          <w:i/>
          <w:lang w:val="en-US"/>
        </w:rPr>
        <w:t xml:space="preserve"> </w:t>
      </w:r>
      <w:r w:rsidR="00410271">
        <w:rPr>
          <w:b w:val="0"/>
          <w:i/>
          <w:lang w:val="en-US"/>
        </w:rPr>
        <w:t>is</w:t>
      </w:r>
      <w:r w:rsidRPr="00C856C6">
        <w:rPr>
          <w:b w:val="0"/>
          <w:i/>
          <w:lang w:val="en-US"/>
        </w:rPr>
        <w:t xml:space="preserve"> characterized the current state and problems of the budget system of municipalities in Russia. </w:t>
      </w:r>
      <w:r w:rsidR="00C4385E" w:rsidRPr="00C856C6">
        <w:rPr>
          <w:b w:val="0"/>
          <w:i/>
          <w:lang w:val="en-US"/>
        </w:rPr>
        <w:t xml:space="preserve">Methodical toolkit of evaluation of municipalities’ </w:t>
      </w:r>
      <w:r w:rsidR="00C4385E" w:rsidRPr="00C856C6">
        <w:rPr>
          <w:b w:val="0"/>
          <w:bCs w:val="0"/>
          <w:i/>
          <w:color w:val="000000"/>
          <w:lang w:val="en-US"/>
        </w:rPr>
        <w:t>budget</w:t>
      </w:r>
      <w:r w:rsidR="00410271">
        <w:rPr>
          <w:b w:val="0"/>
          <w:bCs w:val="0"/>
          <w:i/>
          <w:color w:val="000000"/>
          <w:lang w:val="en-US"/>
        </w:rPr>
        <w:t>ary potential was investigated.</w:t>
      </w:r>
      <w:r w:rsidR="00C4385E" w:rsidRPr="00C856C6">
        <w:rPr>
          <w:b w:val="0"/>
          <w:i/>
          <w:lang w:val="en-US"/>
        </w:rPr>
        <w:t xml:space="preserve"> </w:t>
      </w:r>
      <w:r w:rsidRPr="00C856C6">
        <w:rPr>
          <w:b w:val="0"/>
          <w:bCs w:val="0"/>
          <w:i/>
          <w:color w:val="000000"/>
          <w:lang w:val="en-US"/>
        </w:rPr>
        <w:t xml:space="preserve">Methodology of estimation of budgetary potential </w:t>
      </w:r>
      <w:r w:rsidR="00C4385E" w:rsidRPr="00C856C6">
        <w:rPr>
          <w:b w:val="0"/>
          <w:bCs w:val="0"/>
          <w:i/>
          <w:color w:val="000000"/>
          <w:lang w:val="en-US"/>
        </w:rPr>
        <w:t xml:space="preserve">of municipalities </w:t>
      </w:r>
      <w:proofErr w:type="gramStart"/>
      <w:r w:rsidR="00C4385E" w:rsidRPr="00C856C6">
        <w:rPr>
          <w:b w:val="0"/>
          <w:bCs w:val="0"/>
          <w:i/>
          <w:color w:val="000000"/>
          <w:lang w:val="en-US"/>
        </w:rPr>
        <w:t xml:space="preserve">was </w:t>
      </w:r>
      <w:r w:rsidRPr="00C856C6">
        <w:rPr>
          <w:b w:val="0"/>
          <w:bCs w:val="0"/>
          <w:i/>
          <w:color w:val="000000"/>
          <w:lang w:val="en-US"/>
        </w:rPr>
        <w:t xml:space="preserve"> developed</w:t>
      </w:r>
      <w:proofErr w:type="gramEnd"/>
      <w:r w:rsidRPr="00C856C6">
        <w:rPr>
          <w:b w:val="0"/>
          <w:bCs w:val="0"/>
          <w:i/>
          <w:color w:val="000000"/>
          <w:lang w:val="en-US"/>
        </w:rPr>
        <w:t xml:space="preserve">. </w:t>
      </w:r>
    </w:p>
    <w:p w:rsidR="009E2354" w:rsidRPr="00C856C6" w:rsidRDefault="009E2354" w:rsidP="009E2354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i/>
          <w:color w:val="000000"/>
          <w:lang w:val="en-US"/>
        </w:rPr>
      </w:pPr>
      <w:r w:rsidRPr="00C856C6">
        <w:rPr>
          <w:bCs w:val="0"/>
          <w:i/>
          <w:color w:val="000000"/>
          <w:lang w:val="en-US"/>
        </w:rPr>
        <w:t>Key words:</w:t>
      </w:r>
      <w:r w:rsidRPr="00C856C6">
        <w:rPr>
          <w:b w:val="0"/>
          <w:bCs w:val="0"/>
          <w:i/>
          <w:color w:val="000000"/>
          <w:lang w:val="en-US"/>
        </w:rPr>
        <w:t xml:space="preserve"> </w:t>
      </w:r>
      <w:r w:rsidR="00DA774E" w:rsidRPr="00C856C6">
        <w:rPr>
          <w:b w:val="0"/>
          <w:bCs w:val="0"/>
          <w:i/>
          <w:color w:val="000000"/>
          <w:lang w:val="en-US"/>
        </w:rPr>
        <w:t xml:space="preserve">Municipality, local government, municipal budget, financial </w:t>
      </w:r>
      <w:r w:rsidRPr="00C856C6">
        <w:rPr>
          <w:b w:val="0"/>
          <w:bCs w:val="0"/>
          <w:i/>
          <w:color w:val="000000"/>
          <w:lang w:val="en-US"/>
        </w:rPr>
        <w:t>independence, budgetary potential</w:t>
      </w:r>
      <w:r w:rsidR="00DA774E" w:rsidRPr="00C856C6">
        <w:rPr>
          <w:b w:val="0"/>
          <w:bCs w:val="0"/>
          <w:i/>
          <w:color w:val="000000"/>
          <w:lang w:val="en-US"/>
        </w:rPr>
        <w:t>, integral index</w:t>
      </w:r>
      <w:r w:rsidR="00001185" w:rsidRPr="00C856C6">
        <w:rPr>
          <w:b w:val="0"/>
          <w:bCs w:val="0"/>
          <w:i/>
          <w:color w:val="000000"/>
          <w:lang w:val="en-US"/>
        </w:rPr>
        <w:t>.</w:t>
      </w:r>
    </w:p>
    <w:p w:rsidR="00DA774E" w:rsidRPr="00C856C6" w:rsidRDefault="00DA774E" w:rsidP="002E0C0B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i/>
          <w:color w:val="000000"/>
          <w:lang w:val="en-US"/>
        </w:rPr>
      </w:pPr>
    </w:p>
    <w:p w:rsidR="00001185" w:rsidRPr="00C856C6" w:rsidRDefault="00D77294" w:rsidP="002E0C0B">
      <w:pPr>
        <w:pStyle w:val="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C856C6">
        <w:rPr>
          <w:b w:val="0"/>
          <w:bCs w:val="0"/>
          <w:color w:val="000000"/>
          <w:lang w:val="en-US"/>
        </w:rPr>
        <w:t>Miklyaeva</w:t>
      </w:r>
      <w:proofErr w:type="spellEnd"/>
      <w:r w:rsidR="00001185" w:rsidRPr="00C856C6">
        <w:rPr>
          <w:b w:val="0"/>
          <w:bCs w:val="0"/>
          <w:color w:val="000000"/>
          <w:lang w:val="en-US"/>
        </w:rPr>
        <w:t xml:space="preserve"> </w:t>
      </w:r>
      <w:proofErr w:type="spellStart"/>
      <w:r w:rsidR="00001185" w:rsidRPr="00C856C6">
        <w:rPr>
          <w:b w:val="0"/>
          <w:bCs w:val="0"/>
          <w:color w:val="000000"/>
          <w:lang w:val="en-US"/>
        </w:rPr>
        <w:t>Kseniya</w:t>
      </w:r>
      <w:proofErr w:type="spellEnd"/>
      <w:r w:rsidR="00001185" w:rsidRPr="00C856C6">
        <w:rPr>
          <w:b w:val="0"/>
          <w:bCs w:val="0"/>
          <w:color w:val="000000"/>
          <w:lang w:val="en-US"/>
        </w:rPr>
        <w:t xml:space="preserve"> </w:t>
      </w:r>
      <w:proofErr w:type="spellStart"/>
      <w:r w:rsidR="00001185" w:rsidRPr="00C856C6">
        <w:rPr>
          <w:b w:val="0"/>
          <w:bCs w:val="0"/>
          <w:color w:val="000000"/>
          <w:lang w:val="en-US"/>
        </w:rPr>
        <w:t>Alekseevna</w:t>
      </w:r>
      <w:proofErr w:type="spellEnd"/>
      <w:r w:rsidR="00001185" w:rsidRPr="00C856C6">
        <w:rPr>
          <w:b w:val="0"/>
          <w:bCs w:val="0"/>
          <w:color w:val="000000"/>
          <w:lang w:val="en-US"/>
        </w:rPr>
        <w:t xml:space="preserve"> </w:t>
      </w:r>
      <w:r w:rsidR="00001185" w:rsidRPr="00C856C6">
        <w:rPr>
          <w:b w:val="0"/>
          <w:lang w:val="en-US"/>
        </w:rPr>
        <w:t xml:space="preserve">– graduate student, research engineer, ISEDT RAS (160014, Vologda, </w:t>
      </w:r>
      <w:proofErr w:type="spellStart"/>
      <w:r w:rsidR="00001185" w:rsidRPr="00C856C6">
        <w:rPr>
          <w:b w:val="0"/>
          <w:lang w:val="en-US"/>
        </w:rPr>
        <w:t>ul</w:t>
      </w:r>
      <w:proofErr w:type="spellEnd"/>
      <w:r w:rsidR="00001185" w:rsidRPr="00C856C6">
        <w:rPr>
          <w:b w:val="0"/>
          <w:lang w:val="en-US"/>
        </w:rPr>
        <w:t>. Gorky, d. 56a</w:t>
      </w:r>
      <w:r w:rsidRPr="00C856C6">
        <w:rPr>
          <w:b w:val="0"/>
          <w:lang w:val="en-US"/>
        </w:rPr>
        <w:t xml:space="preserve">, </w:t>
      </w:r>
      <w:r w:rsidRPr="00C856C6">
        <w:rPr>
          <w:b w:val="0"/>
          <w:bCs w:val="0"/>
          <w:color w:val="000000"/>
          <w:lang w:val="en-US"/>
        </w:rPr>
        <w:t xml:space="preserve">e-mail: </w:t>
      </w:r>
      <w:hyperlink r:id="rId9" w:history="1">
        <w:r w:rsidRPr="00C856C6">
          <w:rPr>
            <w:rStyle w:val="a6"/>
            <w:b w:val="0"/>
            <w:bCs w:val="0"/>
            <w:color w:val="auto"/>
            <w:lang w:val="en-US"/>
          </w:rPr>
          <w:t>common@vscc.ac.ru</w:t>
        </w:r>
      </w:hyperlink>
      <w:r w:rsidRPr="00C856C6">
        <w:rPr>
          <w:lang w:val="en-US"/>
        </w:rPr>
        <w:t>).</w:t>
      </w:r>
    </w:p>
    <w:p w:rsidR="00AA3C49" w:rsidRPr="00C856C6" w:rsidRDefault="00AA3C49" w:rsidP="002E0C0B">
      <w:pPr>
        <w:pStyle w:val="4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lang w:val="en-US"/>
        </w:rPr>
      </w:pPr>
    </w:p>
    <w:p w:rsidR="00001185" w:rsidRPr="00C856C6" w:rsidRDefault="000D2AE9" w:rsidP="002E0C0B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lang w:val="en-US"/>
        </w:rPr>
      </w:pPr>
      <w:r w:rsidRPr="00C856C6">
        <w:rPr>
          <w:bCs w:val="0"/>
          <w:color w:val="000000"/>
          <w:lang w:val="en-US"/>
        </w:rPr>
        <w:t>Bibliographic list</w:t>
      </w:r>
    </w:p>
    <w:p w:rsidR="00611A38" w:rsidRPr="00C856C6" w:rsidRDefault="00611A38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proofErr w:type="spellStart"/>
      <w:r w:rsidRPr="00C856C6">
        <w:rPr>
          <w:rFonts w:ascii="Times New Roman" w:hAnsi="Times New Roman" w:cs="Times New Roman"/>
          <w:sz w:val="24"/>
          <w:szCs w:val="24"/>
          <w:lang w:val="en-US"/>
        </w:rPr>
        <w:t>Golodova</w:t>
      </w:r>
      <w:proofErr w:type="spellEnd"/>
      <w:r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, J.G. Evaluation of the fiscal potential of the region in terms of inter-budget relations reform [Text] / J.G. </w:t>
      </w:r>
      <w:proofErr w:type="spellStart"/>
      <w:r w:rsidRPr="00C856C6">
        <w:rPr>
          <w:rFonts w:ascii="Times New Roman" w:hAnsi="Times New Roman" w:cs="Times New Roman"/>
          <w:sz w:val="24"/>
          <w:szCs w:val="24"/>
          <w:lang w:val="en-US"/>
        </w:rPr>
        <w:t>Golodova</w:t>
      </w:r>
      <w:proofErr w:type="spellEnd"/>
      <w:r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 // Finances and Credit. </w:t>
      </w:r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proofErr w:type="gramStart"/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 № 5.</w:t>
      </w:r>
      <w:proofErr w:type="gramEnd"/>
      <w:r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– p</w:t>
      </w:r>
      <w:r w:rsidRPr="00C856C6">
        <w:rPr>
          <w:rFonts w:ascii="Times New Roman" w:hAnsi="Times New Roman" w:cs="Times New Roman"/>
          <w:sz w:val="24"/>
          <w:szCs w:val="24"/>
          <w:lang w:val="en-US"/>
        </w:rPr>
        <w:t>. 33-40.</w:t>
      </w:r>
    </w:p>
    <w:p w:rsidR="000D2AE9" w:rsidRPr="00C856C6" w:rsidRDefault="00611A38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856C6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>Zenchenko</w:t>
      </w:r>
      <w:proofErr w:type="spellEnd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S.V. Budget potential of the region and methodical approaches to its evaluation [Text] / S.V. </w:t>
      </w:r>
      <w:proofErr w:type="spellStart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>Zenchenko</w:t>
      </w:r>
      <w:proofErr w:type="spellEnd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// Regional problems of economic transformation. - Dagestan Scientific Center RAS ISEI, Mak</w:t>
      </w:r>
      <w:r w:rsidR="007C3A50" w:rsidRPr="00C856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hachkala. </w:t>
      </w:r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C3A50" w:rsidRPr="00C856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2008. </w:t>
      </w:r>
      <w:proofErr w:type="gramStart"/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C3A50" w:rsidRPr="00C856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№1 (14).</w:t>
      </w:r>
      <w:proofErr w:type="gramEnd"/>
      <w:r w:rsidR="007C3A50" w:rsidRPr="00C856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C3A50" w:rsidRPr="00C856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</w:t>
      </w:r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>. 186-198.</w:t>
      </w:r>
    </w:p>
    <w:p w:rsidR="000D2AE9" w:rsidRPr="00ED6641" w:rsidRDefault="00611A38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856C6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>Ilyin</w:t>
      </w:r>
      <w:proofErr w:type="spellEnd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V.A. Problems of efficiency of public administration. </w:t>
      </w:r>
      <w:proofErr w:type="gramStart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>Trends in market transformations.</w:t>
      </w:r>
      <w:proofErr w:type="gramEnd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>The crisis of the budget system.</w:t>
      </w:r>
      <w:proofErr w:type="gramEnd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>The role of private capital.</w:t>
      </w:r>
      <w:proofErr w:type="gramEnd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Strategy 2020: implementation problems [Text]: monograph / V.A. </w:t>
      </w:r>
      <w:proofErr w:type="spellStart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>Ilyin</w:t>
      </w:r>
      <w:proofErr w:type="spellEnd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A.I. </w:t>
      </w:r>
      <w:proofErr w:type="spellStart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>Povarova</w:t>
      </w:r>
      <w:proofErr w:type="spellEnd"/>
      <w:r w:rsidR="000D2AE9" w:rsidRPr="00C856C6">
        <w:rPr>
          <w:rFonts w:ascii="Times New Roman" w:hAnsi="Times New Roman" w:cs="Times New Roman"/>
          <w:bCs/>
          <w:sz w:val="24"/>
          <w:szCs w:val="24"/>
          <w:lang w:val="en-US"/>
        </w:rPr>
        <w:t>. - Vologda: ISEDT RAS, 2014</w:t>
      </w:r>
      <w:r w:rsidR="00ED66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- 188 </w:t>
      </w:r>
      <w:r w:rsidR="00ED6641">
        <w:rPr>
          <w:rFonts w:ascii="Times New Roman" w:hAnsi="Times New Roman" w:cs="Times New Roman"/>
          <w:bCs/>
          <w:sz w:val="24"/>
          <w:szCs w:val="24"/>
        </w:rPr>
        <w:t>р</w:t>
      </w:r>
      <w:r w:rsidR="00ED6641" w:rsidRPr="00ED664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0D2AE9" w:rsidRPr="00C856C6" w:rsidRDefault="00D3348F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6C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F62B7" w:rsidRPr="00C856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>Uskova</w:t>
      </w:r>
      <w:proofErr w:type="spellEnd"/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, T.V. Monitoring of development of municipal formations [Text]: monograph / T.V. </w:t>
      </w:r>
      <w:proofErr w:type="spellStart"/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>Uskova</w:t>
      </w:r>
      <w:proofErr w:type="spellEnd"/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A.N. </w:t>
      </w:r>
      <w:proofErr w:type="spellStart"/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Zuev</w:t>
      </w:r>
      <w:proofErr w:type="spellEnd"/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, A.A. Smirnov, ed. V.</w:t>
      </w:r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>Ilyin</w:t>
      </w:r>
      <w:proofErr w:type="spellEnd"/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 Vologda: ISEDT RAS, 2002. </w:t>
      </w:r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 126 p.</w:t>
      </w:r>
    </w:p>
    <w:p w:rsidR="000D2AE9" w:rsidRPr="00C856C6" w:rsidRDefault="00D3348F" w:rsidP="002E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6C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>Yashin</w:t>
      </w:r>
      <w:proofErr w:type="spellEnd"/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 Some aspects of the analysis of budgetary potential of municipalities [Text] / S</w:t>
      </w:r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>Yashin</w:t>
      </w:r>
      <w:proofErr w:type="spellEnd"/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>Yashin</w:t>
      </w:r>
      <w:proofErr w:type="spellEnd"/>
      <w:r w:rsidR="00D60CF6">
        <w:rPr>
          <w:rFonts w:ascii="Times New Roman" w:hAnsi="Times New Roman" w:cs="Times New Roman"/>
          <w:sz w:val="24"/>
          <w:szCs w:val="24"/>
        </w:rPr>
        <w:t>а</w:t>
      </w:r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 // Finances and Credit. </w:t>
      </w:r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>– № 5 (119).</w:t>
      </w:r>
      <w:proofErr w:type="gramEnd"/>
      <w:r w:rsidR="007C3A50" w:rsidRPr="00C856C6">
        <w:rPr>
          <w:rFonts w:ascii="Times New Roman" w:hAnsi="Times New Roman" w:cs="Times New Roman"/>
          <w:sz w:val="24"/>
          <w:szCs w:val="24"/>
          <w:lang w:val="en-US"/>
        </w:rPr>
        <w:t xml:space="preserve"> – p</w:t>
      </w:r>
      <w:r w:rsidR="000D2AE9" w:rsidRPr="00C856C6">
        <w:rPr>
          <w:rFonts w:ascii="Times New Roman" w:hAnsi="Times New Roman" w:cs="Times New Roman"/>
          <w:sz w:val="24"/>
          <w:szCs w:val="24"/>
          <w:lang w:val="en-US"/>
        </w:rPr>
        <w:t>. 35-44.</w:t>
      </w:r>
      <w:bookmarkStart w:id="0" w:name="_GoBack"/>
      <w:bookmarkEnd w:id="0"/>
    </w:p>
    <w:p w:rsidR="004C642B" w:rsidRPr="00C856C6" w:rsidRDefault="004C642B" w:rsidP="002E0C0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sectPr w:rsidR="004C642B" w:rsidRPr="00C856C6" w:rsidSect="00CA29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55" w:rsidRDefault="007C3355" w:rsidP="00AE3B6D">
      <w:pPr>
        <w:spacing w:after="0" w:line="240" w:lineRule="auto"/>
      </w:pPr>
      <w:r>
        <w:separator/>
      </w:r>
    </w:p>
  </w:endnote>
  <w:endnote w:type="continuationSeparator" w:id="0">
    <w:p w:rsidR="007C3355" w:rsidRDefault="007C3355" w:rsidP="00AE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55" w:rsidRDefault="007C3355" w:rsidP="00AE3B6D">
      <w:pPr>
        <w:spacing w:after="0" w:line="240" w:lineRule="auto"/>
      </w:pPr>
      <w:r>
        <w:separator/>
      </w:r>
    </w:p>
  </w:footnote>
  <w:footnote w:type="continuationSeparator" w:id="0">
    <w:p w:rsidR="007C3355" w:rsidRDefault="007C3355" w:rsidP="00AE3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5C1"/>
    <w:rsid w:val="00001185"/>
    <w:rsid w:val="00002DC2"/>
    <w:rsid w:val="000202EF"/>
    <w:rsid w:val="00033F0F"/>
    <w:rsid w:val="0003742A"/>
    <w:rsid w:val="000810FC"/>
    <w:rsid w:val="000B4CD7"/>
    <w:rsid w:val="000B55DD"/>
    <w:rsid w:val="000D0676"/>
    <w:rsid w:val="000D197A"/>
    <w:rsid w:val="000D2AE9"/>
    <w:rsid w:val="000E782F"/>
    <w:rsid w:val="000F62B7"/>
    <w:rsid w:val="00102CED"/>
    <w:rsid w:val="001046A9"/>
    <w:rsid w:val="00122BAA"/>
    <w:rsid w:val="00130568"/>
    <w:rsid w:val="00145968"/>
    <w:rsid w:val="00147E3B"/>
    <w:rsid w:val="00153C58"/>
    <w:rsid w:val="00154EA9"/>
    <w:rsid w:val="00173C7E"/>
    <w:rsid w:val="00175D46"/>
    <w:rsid w:val="001E7EBF"/>
    <w:rsid w:val="002137A5"/>
    <w:rsid w:val="00213821"/>
    <w:rsid w:val="00226181"/>
    <w:rsid w:val="002519C4"/>
    <w:rsid w:val="002865CE"/>
    <w:rsid w:val="002E0C0B"/>
    <w:rsid w:val="002F18DD"/>
    <w:rsid w:val="002F2C54"/>
    <w:rsid w:val="003516B9"/>
    <w:rsid w:val="0036447E"/>
    <w:rsid w:val="00364BA0"/>
    <w:rsid w:val="00374EAE"/>
    <w:rsid w:val="00394E00"/>
    <w:rsid w:val="003B25DB"/>
    <w:rsid w:val="003F2211"/>
    <w:rsid w:val="00410271"/>
    <w:rsid w:val="00430319"/>
    <w:rsid w:val="00467537"/>
    <w:rsid w:val="0049226A"/>
    <w:rsid w:val="004A09D7"/>
    <w:rsid w:val="004B214D"/>
    <w:rsid w:val="004B3DC3"/>
    <w:rsid w:val="004C642B"/>
    <w:rsid w:val="004D2C55"/>
    <w:rsid w:val="004D2CF9"/>
    <w:rsid w:val="004D36BA"/>
    <w:rsid w:val="004E54FA"/>
    <w:rsid w:val="004F4C5F"/>
    <w:rsid w:val="005064A0"/>
    <w:rsid w:val="00525A5B"/>
    <w:rsid w:val="00554617"/>
    <w:rsid w:val="005672F8"/>
    <w:rsid w:val="005714B8"/>
    <w:rsid w:val="00586664"/>
    <w:rsid w:val="005B2169"/>
    <w:rsid w:val="005D0A50"/>
    <w:rsid w:val="005D7C9F"/>
    <w:rsid w:val="005F47CB"/>
    <w:rsid w:val="006100BB"/>
    <w:rsid w:val="00611A38"/>
    <w:rsid w:val="0062690D"/>
    <w:rsid w:val="00633976"/>
    <w:rsid w:val="006B0E00"/>
    <w:rsid w:val="006B6CFA"/>
    <w:rsid w:val="006C0AA4"/>
    <w:rsid w:val="006E050D"/>
    <w:rsid w:val="006E56B0"/>
    <w:rsid w:val="006E6B6A"/>
    <w:rsid w:val="006F3B9F"/>
    <w:rsid w:val="00720AF4"/>
    <w:rsid w:val="007521D8"/>
    <w:rsid w:val="007741D9"/>
    <w:rsid w:val="007A4CDD"/>
    <w:rsid w:val="007C3355"/>
    <w:rsid w:val="007C3A50"/>
    <w:rsid w:val="007C4333"/>
    <w:rsid w:val="007D43E5"/>
    <w:rsid w:val="008158E0"/>
    <w:rsid w:val="00831993"/>
    <w:rsid w:val="00841A17"/>
    <w:rsid w:val="008726F3"/>
    <w:rsid w:val="00875BC7"/>
    <w:rsid w:val="00882236"/>
    <w:rsid w:val="009427A5"/>
    <w:rsid w:val="009443F2"/>
    <w:rsid w:val="00970EC7"/>
    <w:rsid w:val="009C2E25"/>
    <w:rsid w:val="009D5513"/>
    <w:rsid w:val="009D72CD"/>
    <w:rsid w:val="009E0C87"/>
    <w:rsid w:val="009E2354"/>
    <w:rsid w:val="00A23023"/>
    <w:rsid w:val="00A34F7C"/>
    <w:rsid w:val="00A72A79"/>
    <w:rsid w:val="00A777BD"/>
    <w:rsid w:val="00A82852"/>
    <w:rsid w:val="00A83373"/>
    <w:rsid w:val="00A87026"/>
    <w:rsid w:val="00A9642A"/>
    <w:rsid w:val="00AA3C49"/>
    <w:rsid w:val="00AB70D4"/>
    <w:rsid w:val="00AD0B58"/>
    <w:rsid w:val="00AE3B6D"/>
    <w:rsid w:val="00B14A25"/>
    <w:rsid w:val="00B4167F"/>
    <w:rsid w:val="00B43DB2"/>
    <w:rsid w:val="00B7446C"/>
    <w:rsid w:val="00B762B8"/>
    <w:rsid w:val="00B9710E"/>
    <w:rsid w:val="00BA68C5"/>
    <w:rsid w:val="00BC43F8"/>
    <w:rsid w:val="00BC5818"/>
    <w:rsid w:val="00BD604C"/>
    <w:rsid w:val="00BE2F3B"/>
    <w:rsid w:val="00BE4661"/>
    <w:rsid w:val="00C40735"/>
    <w:rsid w:val="00C4385E"/>
    <w:rsid w:val="00C45CC9"/>
    <w:rsid w:val="00C856C6"/>
    <w:rsid w:val="00CA2943"/>
    <w:rsid w:val="00CB35B2"/>
    <w:rsid w:val="00CE0339"/>
    <w:rsid w:val="00D02262"/>
    <w:rsid w:val="00D0440C"/>
    <w:rsid w:val="00D3348F"/>
    <w:rsid w:val="00D3350E"/>
    <w:rsid w:val="00D60CF6"/>
    <w:rsid w:val="00D70154"/>
    <w:rsid w:val="00D77294"/>
    <w:rsid w:val="00DA1D56"/>
    <w:rsid w:val="00DA774E"/>
    <w:rsid w:val="00DB57B9"/>
    <w:rsid w:val="00E109A0"/>
    <w:rsid w:val="00E17983"/>
    <w:rsid w:val="00E17BA0"/>
    <w:rsid w:val="00E250CF"/>
    <w:rsid w:val="00E825C1"/>
    <w:rsid w:val="00E94F98"/>
    <w:rsid w:val="00EA04BE"/>
    <w:rsid w:val="00EC2EE8"/>
    <w:rsid w:val="00EC3AF8"/>
    <w:rsid w:val="00EC6440"/>
    <w:rsid w:val="00ED6641"/>
    <w:rsid w:val="00EE3B16"/>
    <w:rsid w:val="00F37C03"/>
    <w:rsid w:val="00F57073"/>
    <w:rsid w:val="00F86359"/>
    <w:rsid w:val="00F93692"/>
    <w:rsid w:val="00FA5871"/>
    <w:rsid w:val="00FD5770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C1"/>
  </w:style>
  <w:style w:type="paragraph" w:styleId="4">
    <w:name w:val="heading 4"/>
    <w:basedOn w:val="a"/>
    <w:link w:val="40"/>
    <w:uiPriority w:val="9"/>
    <w:qFormat/>
    <w:rsid w:val="00374E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CE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02C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374E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4E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E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3B6D"/>
  </w:style>
  <w:style w:type="paragraph" w:styleId="a9">
    <w:name w:val="footer"/>
    <w:basedOn w:val="a"/>
    <w:link w:val="aa"/>
    <w:uiPriority w:val="99"/>
    <w:semiHidden/>
    <w:unhideWhenUsed/>
    <w:rsid w:val="00AE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B6D"/>
  </w:style>
  <w:style w:type="paragraph" w:styleId="ab">
    <w:name w:val="List Paragraph"/>
    <w:basedOn w:val="a"/>
    <w:uiPriority w:val="34"/>
    <w:qFormat/>
    <w:rsid w:val="00B762B8"/>
    <w:pPr>
      <w:ind w:left="720"/>
      <w:contextualSpacing/>
    </w:pPr>
  </w:style>
  <w:style w:type="character" w:customStyle="1" w:styleId="apple-converted-space">
    <w:name w:val="apple-converted-space"/>
    <w:basedOn w:val="a0"/>
    <w:rsid w:val="000D2AE9"/>
  </w:style>
  <w:style w:type="character" w:customStyle="1" w:styleId="shorttext">
    <w:name w:val="short_text"/>
    <w:basedOn w:val="a0"/>
    <w:rsid w:val="00841A17"/>
  </w:style>
  <w:style w:type="table" w:customStyle="1" w:styleId="10">
    <w:name w:val="Сетка таблицы1"/>
    <w:basedOn w:val="a1"/>
    <w:next w:val="a3"/>
    <w:uiPriority w:val="59"/>
    <w:rsid w:val="00BE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E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on@vscc.a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on@vscc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2CA35-2B85-4223-A86D-7C258755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6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Светлана Н. Смирнова</cp:lastModifiedBy>
  <cp:revision>37</cp:revision>
  <cp:lastPrinted>2016-04-26T11:14:00Z</cp:lastPrinted>
  <dcterms:created xsi:type="dcterms:W3CDTF">2016-04-21T19:41:00Z</dcterms:created>
  <dcterms:modified xsi:type="dcterms:W3CDTF">2016-04-26T11:23:00Z</dcterms:modified>
</cp:coreProperties>
</file>